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F1433B2" w14:textId="77777777" w:rsidR="00457532" w:rsidRDefault="00457532" w:rsidP="00772D25">
      <w:pPr>
        <w:spacing w:line="276" w:lineRule="auto"/>
        <w:jc w:val="center"/>
        <w:rPr>
          <w:b/>
          <w:sz w:val="32"/>
          <w:szCs w:val="32"/>
        </w:rPr>
      </w:pPr>
    </w:p>
    <w:p w14:paraId="7207423B" w14:textId="77777777" w:rsidR="00B84658" w:rsidRDefault="00B84658" w:rsidP="00B84658">
      <w:pPr>
        <w:spacing w:line="276" w:lineRule="auto"/>
        <w:rPr>
          <w:b/>
          <w:sz w:val="32"/>
          <w:szCs w:val="32"/>
        </w:rPr>
      </w:pPr>
    </w:p>
    <w:p w14:paraId="4F4794A3" w14:textId="77777777" w:rsidR="00B84658" w:rsidRDefault="00B84658" w:rsidP="00B84658">
      <w:pPr>
        <w:spacing w:line="276" w:lineRule="auto"/>
        <w:rPr>
          <w:b/>
          <w:sz w:val="32"/>
          <w:szCs w:val="32"/>
        </w:rPr>
      </w:pPr>
    </w:p>
    <w:p w14:paraId="215336F3" w14:textId="77777777" w:rsidR="00B84658" w:rsidRDefault="00B84658" w:rsidP="00B84658">
      <w:pPr>
        <w:pStyle w:val="Heading2"/>
        <w:numPr>
          <w:ilvl w:val="0"/>
          <w:numId w:val="0"/>
        </w:numPr>
        <w:spacing w:line="276" w:lineRule="auto"/>
        <w:jc w:val="center"/>
        <w:rPr>
          <w:rFonts w:eastAsiaTheme="minorHAnsi" w:cstheme="minorBidi"/>
          <w:sz w:val="32"/>
          <w:szCs w:val="32"/>
        </w:rPr>
      </w:pPr>
      <w:r>
        <w:rPr>
          <w:rFonts w:eastAsiaTheme="minorHAnsi" w:cstheme="minorBidi"/>
          <w:sz w:val="32"/>
          <w:szCs w:val="32"/>
        </w:rPr>
        <w:t xml:space="preserve">Estimating Suppressed Electricity Demand in a Rationed Grid: </w:t>
      </w:r>
    </w:p>
    <w:p w14:paraId="6D6416FD" w14:textId="062A56DE" w:rsidR="00772D25" w:rsidRDefault="00B84658" w:rsidP="00B84658">
      <w:pPr>
        <w:pStyle w:val="Heading2"/>
        <w:numPr>
          <w:ilvl w:val="0"/>
          <w:numId w:val="0"/>
        </w:numPr>
        <w:spacing w:line="276" w:lineRule="auto"/>
        <w:jc w:val="center"/>
      </w:pPr>
      <w:r>
        <w:rPr>
          <w:rFonts w:eastAsiaTheme="minorHAnsi" w:cstheme="minorBidi"/>
          <w:sz w:val="32"/>
          <w:szCs w:val="32"/>
        </w:rPr>
        <w:t>A Disequilibrium Approach for Nigeria</w:t>
      </w:r>
    </w:p>
    <w:p w14:paraId="3A1D14F1" w14:textId="77777777" w:rsidR="00772D25" w:rsidRDefault="00772D25" w:rsidP="002D12C5">
      <w:pPr>
        <w:pStyle w:val="Heading2"/>
        <w:numPr>
          <w:ilvl w:val="0"/>
          <w:numId w:val="0"/>
        </w:numPr>
        <w:rPr>
          <w:rFonts w:eastAsiaTheme="minorHAnsi" w:cstheme="minorBidi"/>
          <w:b w:val="0"/>
          <w:bCs/>
          <w:sz w:val="32"/>
          <w:szCs w:val="32"/>
        </w:rPr>
      </w:pPr>
    </w:p>
    <w:p w14:paraId="02059BFF" w14:textId="77777777" w:rsidR="00B84658" w:rsidRDefault="00B84658" w:rsidP="00B84658"/>
    <w:p w14:paraId="6AE83649" w14:textId="77777777" w:rsidR="00B84658" w:rsidRPr="00B84658" w:rsidRDefault="00B84658" w:rsidP="00B84658"/>
    <w:p w14:paraId="4516DC10" w14:textId="14204017" w:rsidR="00B84658" w:rsidRPr="00B10B35" w:rsidRDefault="00B84658" w:rsidP="00B84658">
      <w:pPr>
        <w:pStyle w:val="Heading2"/>
        <w:numPr>
          <w:ilvl w:val="0"/>
          <w:numId w:val="0"/>
        </w:numPr>
        <w:spacing w:line="276" w:lineRule="auto"/>
        <w:jc w:val="center"/>
        <w:rPr>
          <w:rFonts w:eastAsiaTheme="minorHAnsi" w:cstheme="minorBidi"/>
          <w:b w:val="0"/>
          <w:bCs/>
          <w:sz w:val="24"/>
          <w:szCs w:val="24"/>
        </w:rPr>
      </w:pPr>
      <w:r>
        <w:rPr>
          <w:rFonts w:eastAsiaTheme="minorHAnsi" w:cstheme="minorBidi"/>
          <w:b w:val="0"/>
          <w:bCs/>
          <w:sz w:val="32"/>
          <w:szCs w:val="32"/>
        </w:rPr>
        <w:t>Ayokunle Owolabi</w:t>
      </w:r>
      <w:r w:rsidR="00B10B35" w:rsidRPr="00B10B35">
        <w:rPr>
          <w:rFonts w:eastAsiaTheme="minorHAnsi" w:cstheme="minorBidi"/>
          <w:b w:val="0"/>
          <w:bCs/>
          <w:sz w:val="24"/>
          <w:szCs w:val="24"/>
          <w:vertAlign w:val="superscript"/>
        </w:rPr>
        <w:t>1</w:t>
      </w:r>
    </w:p>
    <w:p w14:paraId="595D3B95" w14:textId="77777777" w:rsidR="00B84658" w:rsidRDefault="00B84658" w:rsidP="00B84658"/>
    <w:p w14:paraId="25EE1788" w14:textId="77777777" w:rsidR="00B84658" w:rsidRDefault="00B84658" w:rsidP="00B84658"/>
    <w:p w14:paraId="19F8C18A" w14:textId="77777777" w:rsidR="00B84658" w:rsidRDefault="00B84658" w:rsidP="00B84658"/>
    <w:p w14:paraId="2B2D8601" w14:textId="225EE0F5" w:rsidR="00B84658" w:rsidRDefault="00B84658" w:rsidP="00B84658">
      <w:pPr>
        <w:pStyle w:val="Heading2"/>
        <w:numPr>
          <w:ilvl w:val="0"/>
          <w:numId w:val="0"/>
        </w:numPr>
        <w:spacing w:line="276" w:lineRule="auto"/>
        <w:jc w:val="center"/>
        <w:rPr>
          <w:rFonts w:eastAsiaTheme="minorHAnsi" w:cstheme="minorBidi"/>
          <w:b w:val="0"/>
          <w:bCs/>
          <w:sz w:val="32"/>
          <w:szCs w:val="32"/>
        </w:rPr>
      </w:pPr>
      <w:r>
        <w:rPr>
          <w:rFonts w:eastAsiaTheme="minorHAnsi" w:cstheme="minorBidi"/>
          <w:b w:val="0"/>
          <w:bCs/>
          <w:sz w:val="32"/>
          <w:szCs w:val="32"/>
        </w:rPr>
        <w:t>September 2026</w:t>
      </w:r>
    </w:p>
    <w:p w14:paraId="39C15C97" w14:textId="77777777" w:rsidR="00772D25" w:rsidRDefault="00772D25" w:rsidP="00772D25"/>
    <w:p w14:paraId="2EC7993E" w14:textId="77777777" w:rsidR="00B84658" w:rsidRDefault="00B84658" w:rsidP="00772D25"/>
    <w:p w14:paraId="76051AAA" w14:textId="77777777" w:rsidR="00B84658" w:rsidRDefault="00B84658" w:rsidP="00772D25"/>
    <w:p w14:paraId="02B6C9B9" w14:textId="77777777" w:rsidR="00B84658" w:rsidRPr="00772D25" w:rsidRDefault="00B84658" w:rsidP="00772D25"/>
    <w:p w14:paraId="185EBAF8" w14:textId="433E8024" w:rsidR="00B84658" w:rsidRPr="00457532" w:rsidRDefault="00B10B35" w:rsidP="00B84658">
      <w:pPr>
        <w:jc w:val="center"/>
      </w:pPr>
      <w:r w:rsidRPr="00B10B35">
        <w:rPr>
          <w:vertAlign w:val="superscript"/>
        </w:rPr>
        <w:t>1</w:t>
      </w:r>
      <w:r w:rsidR="00B84658" w:rsidRPr="00B84658">
        <w:t xml:space="preserve">Independent researcher. This paper originated as part of Rete, an open-source initiative developing tools to model the relationship between electricity demand and supply in infrastructure-constrained markets, and is intended to serve as a methodological foundation for that project. The views, methods, and any errors in this paper are the author's own. Correspondence: </w:t>
      </w:r>
      <w:r w:rsidR="00B84658">
        <w:t>kunleowolabi77@gmail.com</w:t>
      </w:r>
      <w:r w:rsidR="00B84658" w:rsidRPr="00B84658">
        <w:t xml:space="preserve">. Code and data available at: </w:t>
      </w:r>
      <w:hyperlink r:id="rId8" w:history="1">
        <w:r w:rsidR="00B84658" w:rsidRPr="00B84658">
          <w:rPr>
            <w:rStyle w:val="Hyperlink"/>
          </w:rPr>
          <w:t>URL</w:t>
        </w:r>
      </w:hyperlink>
      <w:r w:rsidR="00B84658" w:rsidRPr="00B84658">
        <w:t>.</w:t>
      </w:r>
    </w:p>
    <w:p w14:paraId="786B51C4" w14:textId="77777777" w:rsidR="00772D25" w:rsidRPr="00AA11A5" w:rsidRDefault="00772D25" w:rsidP="00772D25">
      <w:pPr>
        <w:jc w:val="center"/>
        <w:rPr>
          <w:b/>
          <w:bCs/>
          <w:sz w:val="28"/>
          <w:szCs w:val="28"/>
        </w:rPr>
      </w:pPr>
      <w:r>
        <w:rPr>
          <w:b/>
          <w:bCs/>
          <w:sz w:val="28"/>
          <w:szCs w:val="28"/>
        </w:rPr>
        <w:lastRenderedPageBreak/>
        <w:t>ABSTRACT</w:t>
      </w:r>
    </w:p>
    <w:p w14:paraId="76CAA4A2" w14:textId="74911790" w:rsidR="0098230C" w:rsidRDefault="0098230C" w:rsidP="00772D25">
      <w:r>
        <w:t xml:space="preserve">Electricity demand in chronically supply-constrained grids is systematically mismeasured. Where supply is rationed and tariffs are administratively set, observed consumption equals the smaller of demand and supply and understates true demand by a variable, unobserved margin, biasing the forecasts on which capacity investment depends. Existing estimates of this "suppressed demand" for Nigeria and comparable markets fix the correction from consumption to demand by assumption before estimation. This paper instead recovers it, applying the Fair–Jaffee/Maddala–Nelson disequilibrium framework (in which observed quantity is the minimum of separately specified, jointly estimated demand and supply equations) to a panel of 154 distribution-company-quarters (11 DISCOs, 2022Q4–2026Q1) built from Nigerian regulatory filings. Demand is identified by state-level formal economic activity; supply by administratively allocated contracted capacity and national plant availability; the demand- or supply-constrained status of each observation is recovered from the likelihood rather than assumed. The existing connected network is estimated to draw 5.34 GW on average against 3.43 GW delivered: a suppressed demand gap of 1.91 GW, 56 per cent above current delivery. </w:t>
      </w:r>
      <w:r w:rsidR="00BA0400" w:rsidRPr="00BA0400">
        <w:t>The estimate holds out of sample and is insensitive to the reference year and to the April 2024 tariff change, but it rests on the three DISCOs whose quarters reveal demand: excluding any one of them moves the gap to between 0.52 and 1.48 GW, and a plausible negative correlation between demand and supply shocks would lower it by up to two-fifths.</w:t>
      </w:r>
    </w:p>
    <w:p w14:paraId="571ACE64" w14:textId="77777777" w:rsidR="0098230C" w:rsidRDefault="0098230C" w:rsidP="00772D25"/>
    <w:p w14:paraId="3A6CAFC4" w14:textId="77777777" w:rsidR="0098230C" w:rsidRDefault="0098230C" w:rsidP="00772D25"/>
    <w:p w14:paraId="769FB915" w14:textId="77777777" w:rsidR="0098230C" w:rsidRDefault="0098230C" w:rsidP="00772D25"/>
    <w:p w14:paraId="688C5463" w14:textId="77777777" w:rsidR="0098230C" w:rsidRDefault="0098230C" w:rsidP="00772D25"/>
    <w:p w14:paraId="6A8E3A3F" w14:textId="77777777" w:rsidR="00772D25" w:rsidRDefault="00772D25" w:rsidP="002D12C5">
      <w:pPr>
        <w:pStyle w:val="Heading2"/>
        <w:numPr>
          <w:ilvl w:val="0"/>
          <w:numId w:val="0"/>
        </w:numPr>
      </w:pPr>
    </w:p>
    <w:p w14:paraId="6D5D6C62" w14:textId="77777777" w:rsidR="00772D25" w:rsidRDefault="00772D25" w:rsidP="002D12C5">
      <w:pPr>
        <w:pStyle w:val="Heading2"/>
        <w:numPr>
          <w:ilvl w:val="0"/>
          <w:numId w:val="0"/>
        </w:numPr>
      </w:pPr>
    </w:p>
    <w:p w14:paraId="3413E237" w14:textId="77777777" w:rsidR="00772D25" w:rsidRPr="00772D25" w:rsidRDefault="00772D25" w:rsidP="00772D25"/>
    <w:p w14:paraId="79DA2022" w14:textId="77777777" w:rsidR="00732BB0" w:rsidRPr="00AA11A5" w:rsidRDefault="002D12C5" w:rsidP="002D12C5">
      <w:pPr>
        <w:pStyle w:val="Heading2"/>
        <w:numPr>
          <w:ilvl w:val="0"/>
          <w:numId w:val="0"/>
        </w:numPr>
      </w:pPr>
      <w:r>
        <w:lastRenderedPageBreak/>
        <w:t>1.0</w:t>
      </w:r>
      <w:bookmarkStart w:id="0" w:name="_Toc157591792"/>
      <w:bookmarkStart w:id="1" w:name="_Toc150752421"/>
      <w:r>
        <w:t xml:space="preserve"> </w:t>
      </w:r>
      <w:bookmarkEnd w:id="0"/>
      <w:r>
        <w:t>Introduction</w:t>
      </w:r>
    </w:p>
    <w:p w14:paraId="400FB57B" w14:textId="77777777" w:rsidR="00B43AF8" w:rsidRDefault="00B43AF8" w:rsidP="00B43AF8">
      <w:pPr>
        <w:rPr>
          <w:lang w:eastAsia="en-GB"/>
        </w:rPr>
      </w:pPr>
      <w:r>
        <w:rPr>
          <w:lang w:eastAsia="en-GB"/>
        </w:rPr>
        <w:t>Nigeria has roughly 220 million people, an installed generation capacity on paper of about 13 GW, and, on an average day, delivers under 4 GW to the grid. The shortfall is not disputed. What no one can state with confidence is a more useful number: how much electricity the country's distribution network would actually take if the power were there to take. That figure (not installed capacity, not consumption, but latent, constrained demand) is what an investor sizing a generation project, or a regulator pricing new capacity, actually needs. It is also, by construction, unobservable.</w:t>
      </w:r>
    </w:p>
    <w:p w14:paraId="35B216B6" w14:textId="77777777" w:rsidR="00B43AF8" w:rsidRDefault="00B43AF8" w:rsidP="00B43AF8">
      <w:pPr>
        <w:rPr>
          <w:lang w:eastAsia="en-GB"/>
        </w:rPr>
      </w:pPr>
      <w:r>
        <w:rPr>
          <w:lang w:eastAsia="en-GB"/>
        </w:rPr>
        <w:t>The reason is a measurement trap specific to rationed markets. When a grid is chronically short and tariffs are set by regulation rather than cleared by price, the electricity that changes hands is whichever is smaller (what buyers want, or what the system can supply) and never reveals which (Fair and Jaffee, 1972). Consumption data, the natural starting point for any demand estimate, therefore understates true demand by an amount that is not only large but variable: it shifts period to period as the binding constraint moves between generation, transmission, and distribution. A demand forecast built on that series inherits the bias silently. In a sector where the size of the investment programme depends directly on the projected demand, underestimating demand produces underinvestment, which reproduces the shortage, the mechanism by which a measurement error becomes a self-perpetuating physical one.</w:t>
      </w:r>
    </w:p>
    <w:p w14:paraId="0C1E1498" w14:textId="77777777" w:rsidR="00B43AF8" w:rsidRDefault="00B43AF8" w:rsidP="00B43AF8">
      <w:pPr>
        <w:rPr>
          <w:lang w:eastAsia="en-GB"/>
        </w:rPr>
      </w:pPr>
      <w:r>
        <w:rPr>
          <w:lang w:eastAsia="en-GB"/>
        </w:rPr>
        <w:t>Existing estimates of Nigeria's "suppressed demand" do not escape this trap so much as assume their way around it. The most recent (Ugbehe et al., 2025) inflates historical consumption by a fixed formula for outages, idle capacity, and losses; a close Ghanaian analogue (Dramani et al., 2024) builds its suppressed-demand series from researcher-assigned weights before modelling it. The only prior disequilibrium treatment of Nigerian electricity (Ojameruaye, 1988) fixes a single reliability index for the entire study period and never estimates the supply side at all. In each, the correction is an input, chosen before estimation; none lets the data determine how large the gap is, or how it moves.</w:t>
      </w:r>
    </w:p>
    <w:p w14:paraId="7908C1D7" w14:textId="15F8E015" w:rsidR="00275E77" w:rsidRDefault="00275E77" w:rsidP="00B43AF8">
      <w:pPr>
        <w:rPr>
          <w:lang w:eastAsia="en-GB"/>
        </w:rPr>
      </w:pPr>
      <w:r>
        <w:rPr>
          <w:lang w:eastAsia="en-GB"/>
        </w:rPr>
        <w:t xml:space="preserve">This paper does. Demand and supply are estimated as two separately specified equations, jointly fit by maximum likelihood, with observed delivery modelled as their minimum (Fair and Jaffee, 1972; Maddala and Nelson, 1974). The method assumes no reliability index, no market-clearing price, and, critically, no prior labelling of which quarters were demand- or supply-constrained; that classification falls out of the estimation itself. Applied to 154 </w:t>
      </w:r>
      <w:r>
        <w:rPr>
          <w:lang w:eastAsia="en-GB"/>
        </w:rPr>
        <w:lastRenderedPageBreak/>
        <w:t xml:space="preserve">distribution-company-quarters (11 DISCOs, 2022Q4–2026Q1) built from Nigeria's regulator's own filings, with demand identified by state-level formal economic activity and supply by contracted capacity and plant availability, the model estimates that Nigeria's existing, connected network would draw 5.34 GW against the 3.43 GW it actually receives: a suppressed demand gap of 1.91 GW, roughly 56 per cent above current delivery. </w:t>
      </w:r>
      <w:r w:rsidR="000202B4" w:rsidRPr="000202B4">
        <w:rPr>
          <w:lang w:eastAsia="en-GB"/>
        </w:rPr>
        <w:t>The estimate holds out of sample; its dependence on the three DISCOs that identify demand, and on the independence assumption, is reported in Sections 6.4 and 6.5.</w:t>
      </w:r>
    </w:p>
    <w:p w14:paraId="60013EE7" w14:textId="77777777" w:rsidR="004B37CE" w:rsidRPr="00AA11A5" w:rsidRDefault="00B43AF8" w:rsidP="004B37CE">
      <w:r>
        <w:rPr>
          <w:lang w:eastAsia="en-GB"/>
        </w:rPr>
        <w:t>The problem this method solves is no longer Nigeria's alone. Since 2024, the same mathematical structure (quantity rationed below what the market would otherwise clear) has surfaced at the opposite end of the development spectrum, as AI and data-centre load outruns the grid's physical ability to connect it. US interconnection queues held roughly 2,061 GW of active generation and storage capacity at the end of 2025, around one and a half times the country's installed generating base, with a median wait from interconnection request to commercial operation exceeding five years for projects completed that year (Rand et al., 2026). The rationing there is not in the wholesale price, which does respond to scarcity, but one stage upstream, in the queue for connection itself: a market with its own latent demand (load seeking a connection), its own supply (connection capacity delivered per year), and, again, only their minimum observed. It is the same estimation problem in a richer setting, and it sharpens the case for getting the method right where the stakes are longest-standing. Nigeria serves as that case here, with the wider application taken up in Section 8.</w:t>
      </w:r>
    </w:p>
    <w:p w14:paraId="2AD7100B" w14:textId="77777777" w:rsidR="004B37CE" w:rsidRPr="00AA11A5" w:rsidRDefault="004B37CE" w:rsidP="004B37CE"/>
    <w:p w14:paraId="178F2D98" w14:textId="77777777" w:rsidR="004B37CE" w:rsidRPr="00AA11A5" w:rsidRDefault="004B37CE" w:rsidP="004B37CE"/>
    <w:p w14:paraId="6AD4F183" w14:textId="77777777" w:rsidR="004B37CE" w:rsidRPr="00AA11A5" w:rsidRDefault="004B37CE" w:rsidP="004B37CE"/>
    <w:p w14:paraId="064231DE" w14:textId="77777777" w:rsidR="004B37CE" w:rsidRPr="00AA11A5" w:rsidRDefault="004B37CE" w:rsidP="004B37CE"/>
    <w:p w14:paraId="347FCE1E" w14:textId="77777777" w:rsidR="004B37CE" w:rsidRPr="00AA11A5" w:rsidRDefault="004B37CE" w:rsidP="004B37CE"/>
    <w:p w14:paraId="26131EC8" w14:textId="77777777" w:rsidR="004B37CE" w:rsidRPr="00AA11A5" w:rsidRDefault="004B37CE" w:rsidP="004B37CE"/>
    <w:p w14:paraId="469095E1" w14:textId="77777777" w:rsidR="004B37CE" w:rsidRPr="00AA11A5" w:rsidRDefault="004B37CE" w:rsidP="004B37CE"/>
    <w:p w14:paraId="33D2AD8F" w14:textId="77777777" w:rsidR="004B37CE" w:rsidRPr="00AA11A5" w:rsidRDefault="004B37CE" w:rsidP="004B37CE"/>
    <w:p w14:paraId="3459121A" w14:textId="77777777" w:rsidR="00571E2B" w:rsidRDefault="002D12C5" w:rsidP="002D12C5">
      <w:pPr>
        <w:pStyle w:val="Heading2"/>
        <w:numPr>
          <w:ilvl w:val="0"/>
          <w:numId w:val="0"/>
        </w:numPr>
      </w:pPr>
      <w:bookmarkStart w:id="2" w:name="_Toc240994328"/>
      <w:r>
        <w:lastRenderedPageBreak/>
        <w:t>2.0 Literature Review</w:t>
      </w:r>
      <w:bookmarkEnd w:id="2"/>
    </w:p>
    <w:p w14:paraId="58185067" w14:textId="77777777" w:rsidR="00B43AF8" w:rsidRPr="00B43AF8" w:rsidRDefault="00B43AF8" w:rsidP="00B43AF8">
      <w:pPr>
        <w:pStyle w:val="Heading2"/>
        <w:numPr>
          <w:ilvl w:val="0"/>
          <w:numId w:val="0"/>
        </w:numPr>
      </w:pPr>
      <w:r>
        <w:t>2.1 Estimating electricity demand when the market does not clear</w:t>
      </w:r>
    </w:p>
    <w:p w14:paraId="37D15AE8" w14:textId="77777777" w:rsidR="00B43AF8" w:rsidRDefault="00B43AF8" w:rsidP="00B43AF8">
      <w:r>
        <w:t>The problem of inferring demand from consumption in a rationed market is well understood in principle and routinely sidestepped in practice. Three approaches recur in the electricity literature for developing economies, distinguished less by statistical sophistication than by how much they require the analyst to assume before estimation begins.</w:t>
      </w:r>
    </w:p>
    <w:p w14:paraId="759947CD" w14:textId="77777777" w:rsidR="00B43AF8" w:rsidRDefault="00B43AF8" w:rsidP="00B43AF8">
      <w:r>
        <w:t>The most direct is deterministic gross-up: observed consumption is inflated by adjustment factors intended to restore what would have been consumed absent constraint. Ugbehe et al. (2025) produce the most recent national estimate for Nigeria this way, scaling historical consumption by factors for capacity utilisation, access rate, outages, and transmission-and-distribution losses before extrapolating forward. The appeal is transparency; the cost is that each factor is a judgement fixed in advance, and the resulting figure can be no more defensible than those inputs. Nothing in the method lets the data revise them.</w:t>
      </w:r>
    </w:p>
    <w:p w14:paraId="1464754B" w14:textId="77777777" w:rsidR="00B43AF8" w:rsidRDefault="00B43AF8" w:rsidP="00B43AF8">
      <w:r>
        <w:t>A second approach adds statistical machinery downstream but leaves the core problem upstream. Dramani et al. (2024), estimating suppressed demand for Ghana over 2000–2020, model a suppressed-demand series against transmission losses, informal-economy size, and temperature using a quantile ARDL specification, then forecast it forward under alternative socioeconomic scenarios. The quantile approach is a genuine advance: it captures how the drivers of suppressed demand act differently across the distribution. But suppressed demand is not observed: the series being explained must first be constructed from observed consumption and a set of adjustment assumptions before any regression can run. The sophistication is applied to explaining that series, not to identifying it, the same boundary the gross-up approach meets, reached one step later.</w:t>
      </w:r>
    </w:p>
    <w:p w14:paraId="6CF46E6C" w14:textId="77777777" w:rsidR="00B43AF8" w:rsidRDefault="00B43AF8" w:rsidP="00B43AF8">
      <w:r>
        <w:t xml:space="preserve">The third approach is closest to ours, and the only prior application of disequilibrium econometrics to Nigerian electricity: Ojameruaye (1988). Written in the pre-privatisation NEPA era, it recognises explicitly that observed sales are the short side of a non-clearing market and that demand is therefore latent, the correct starting point. But to recover demand, it assumes "a reliability index of 0.95 for the system throughout the period of analysis" (Ojameruaye, 1988, p. 373) and divides observed sales by it. By the authors' own account, "unlike most of the existing econometric disequilibrium models, our model does not attempt to </w:t>
      </w:r>
      <w:r>
        <w:lastRenderedPageBreak/>
        <w:t>estimate both the supply and demand sides of the market" (p. 376). It reaches for the right framework, then assumes the two things the framework exists to recover: the size of the constraint, and its variation over time.</w:t>
      </w:r>
    </w:p>
    <w:p w14:paraId="783D1D91" w14:textId="77777777" w:rsidR="004B37CE" w:rsidRDefault="00B43AF8" w:rsidP="00B43AF8">
      <w:r>
        <w:t>The common thread is visible. In each case the correction from consumption to demand (its magnitude, and how it moves) enters as an input, fixed before the data are consulted. None treats the gap between demand and supply as a quantity the data can identify on their own.</w:t>
      </w:r>
    </w:p>
    <w:p w14:paraId="5BA43916" w14:textId="77777777" w:rsidR="00B43AF8" w:rsidRPr="00B43AF8" w:rsidRDefault="00B43AF8" w:rsidP="00B43AF8">
      <w:pPr>
        <w:pStyle w:val="Heading2"/>
        <w:numPr>
          <w:ilvl w:val="0"/>
          <w:numId w:val="0"/>
        </w:numPr>
      </w:pPr>
      <w:r>
        <w:t>2.2 The disequilibrium framework</w:t>
      </w:r>
    </w:p>
    <w:p w14:paraId="462EF31C" w14:textId="77777777" w:rsidR="00B43AF8" w:rsidRDefault="00B43AF8" w:rsidP="00B43AF8">
      <w:r>
        <w:t>The tool that removes this assumption is neither new nor untested. Fair and Jaffee (1972) set out the econometric problem directly: "in the absence of an equilibrium condition the ex ante demand and supply quantities cannot in general be equated to the observed quantity traded in the market" (p. 497). Their solution was to model the two quantities as separate equations and the observed quantity as the smaller of the two, estimating both by maximum likelihood without requiring the market to clear. Maddala and Nelson (1974) generalised this into a family of four models, distinguished by how much is known about the direction of price adjustment. In the first (the specification this paper uses) nothing is assumed about price behaviour at all: the model is defined solely by a demand equation, a supply equation, and the condition that observed quantity equals their minimum (Maddala and Nelson, 1974, p. 1013). Regime classification is recovered from the likelihood rather than imposed.</w:t>
      </w:r>
    </w:p>
    <w:p w14:paraId="12314527" w14:textId="77777777" w:rsidR="00B43AF8" w:rsidRDefault="00B43AF8" w:rsidP="00B43AF8">
      <w:r>
        <w:t>The framework has since been applied across markets where price fails to clear quantity: disequilibrium credit rationing, housing starts under regulatory constraint, and labour markets, among others. Its defining feature (that either buyers or sellers are pushed off their notional schedule whenever the market fails to clear, leaving observed quantity on the "short side") is exactly the condition of a chronically supply-constrained electricity grid, where distribution companies routinely take less than they would draw at the prevailing tariff because the power is not available to take.</w:t>
      </w:r>
    </w:p>
    <w:p w14:paraId="0736A3B1" w14:textId="77777777" w:rsidR="00BE5932" w:rsidRPr="00AA11A5" w:rsidRDefault="00BE5932" w:rsidP="00B43AF8">
      <w:r>
        <w:t xml:space="preserve">The framework carries a known estimation hazard, and one this paper takes seriously. Maddala and Nelson identified it themselves: 'the possibility of several local maxima to the likelihood functions and convergence to a local maximum,' a problem they noted 'need[s] to be investigated further' (1974, p. 1030). A modern, peer-reviewed implementation of all four models now exists (Karapanagiotis, 2024), used in Section 6 as an independent check on the </w:t>
      </w:r>
      <w:r>
        <w:lastRenderedPageBreak/>
        <w:t>estimator developed here. That check reproduces precisely the failure the original authors warned of, repeatedly, and on two independently constructed versions of the estimation sample: the comparison package's runs consistently converge to inferior local optima rather than the global one, with the optimisation explicitly reported as non-converged in every instance. This is why the estimation strategy in Section 5 relies on many independent starting points, an analytically derived rather than numerically approximated gradient, and an explicit filter against degenerate solutions, rather than a single optimisation call.</w:t>
      </w:r>
    </w:p>
    <w:p w14:paraId="56326B75" w14:textId="77777777" w:rsidR="00B43AF8" w:rsidRPr="00B43AF8" w:rsidRDefault="00B43AF8" w:rsidP="00B43AF8">
      <w:pPr>
        <w:pStyle w:val="Heading2"/>
        <w:numPr>
          <w:ilvl w:val="0"/>
          <w:numId w:val="0"/>
        </w:numPr>
      </w:pPr>
      <w:r>
        <w:t>2.3 The gap</w:t>
      </w:r>
    </w:p>
    <w:p w14:paraId="67513D25" w14:textId="77777777" w:rsidR="00B43AF8" w:rsidRDefault="00B43AF8" w:rsidP="00B43AF8">
      <w:r>
        <w:t>Across these literatures, one combination is absent. Suppressed electricity demand has been estimated for developing economies, including Nigeria, but always by fixing the correction from consumption to demand before estimation, through a deterministic gross-up (Ugbehe et al., 2025), a pre-constructed index (Dramani et al., 2024), or an assumed reliability factor (Ojameruaye, 1988). The disequilibrium framework that would let the data determine that correction has been applied widely to other markets, but the one prior attempt to bring it to Nigerian electricity used only its demand half, holding supply and reliability fixed. No study estimates electricity demand in a developing-country grid as a jointly identified latent variable: the demand and supply equations are estimated together, and the demand- versus supply-constrained status of each observation is recovered from the likelihood rather than assumed. That is the gap this paper fills.</w:t>
      </w:r>
    </w:p>
    <w:p w14:paraId="32A3A5E2" w14:textId="77777777" w:rsidR="004163BA" w:rsidRDefault="00000000">
      <w:pPr>
        <w:keepNext/>
        <w:spacing w:before="160" w:after="80"/>
      </w:pPr>
      <w:r>
        <w:rPr>
          <w:b/>
          <w:sz w:val="20"/>
          <w:szCs w:val="20"/>
        </w:rPr>
        <w:t>Table 1. Prior approaches to estimating suppressed electricity demand.</w:t>
      </w:r>
    </w:p>
    <w:tbl>
      <w:tblPr>
        <w:tblStyle w:val="TableGrid"/>
        <w:tblW w:w="0" w:type="auto"/>
        <w:tblLook w:val="04A0" w:firstRow="1" w:lastRow="0" w:firstColumn="1" w:lastColumn="0" w:noHBand="0" w:noVBand="1"/>
      </w:tblPr>
      <w:tblGrid>
        <w:gridCol w:w="1555"/>
        <w:gridCol w:w="1275"/>
        <w:gridCol w:w="2579"/>
        <w:gridCol w:w="2241"/>
        <w:gridCol w:w="1366"/>
      </w:tblGrid>
      <w:tr w:rsidR="00B43AF8" w14:paraId="3F56DDEE" w14:textId="77777777" w:rsidTr="00B43AF8">
        <w:trPr>
          <w:trHeight w:val="668"/>
        </w:trPr>
        <w:tc>
          <w:tcPr>
            <w:tcW w:w="1555" w:type="dxa"/>
          </w:tcPr>
          <w:p w14:paraId="4B1FA917" w14:textId="77777777" w:rsidR="00B43AF8" w:rsidRPr="00DE3DCA" w:rsidRDefault="00B43AF8" w:rsidP="00B43AF8">
            <w:pPr>
              <w:spacing w:line="240" w:lineRule="auto"/>
              <w:jc w:val="left"/>
              <w:rPr>
                <w:b/>
                <w:bCs/>
                <w:sz w:val="22"/>
                <w:szCs w:val="22"/>
              </w:rPr>
            </w:pPr>
            <w:r>
              <w:rPr>
                <w:b/>
                <w:bCs/>
                <w:sz w:val="22"/>
                <w:szCs w:val="22"/>
              </w:rPr>
              <w:t>Study</w:t>
            </w:r>
          </w:p>
        </w:tc>
        <w:tc>
          <w:tcPr>
            <w:tcW w:w="1275" w:type="dxa"/>
          </w:tcPr>
          <w:p w14:paraId="18A6B6F7" w14:textId="77777777" w:rsidR="00B43AF8" w:rsidRPr="00DE3DCA" w:rsidRDefault="00B43AF8" w:rsidP="00B43AF8">
            <w:pPr>
              <w:spacing w:line="240" w:lineRule="auto"/>
              <w:jc w:val="left"/>
              <w:rPr>
                <w:b/>
                <w:bCs/>
                <w:sz w:val="22"/>
                <w:szCs w:val="22"/>
              </w:rPr>
            </w:pPr>
            <w:r>
              <w:rPr>
                <w:b/>
                <w:bCs/>
                <w:sz w:val="22"/>
                <w:szCs w:val="22"/>
              </w:rPr>
              <w:t>Setting</w:t>
            </w:r>
          </w:p>
        </w:tc>
        <w:tc>
          <w:tcPr>
            <w:tcW w:w="2579" w:type="dxa"/>
          </w:tcPr>
          <w:p w14:paraId="4EC5F2E1" w14:textId="77777777" w:rsidR="00B43AF8" w:rsidRPr="00DE3DCA" w:rsidRDefault="00B43AF8" w:rsidP="00B43AF8">
            <w:pPr>
              <w:spacing w:line="240" w:lineRule="auto"/>
              <w:jc w:val="left"/>
              <w:rPr>
                <w:b/>
                <w:bCs/>
                <w:sz w:val="22"/>
                <w:szCs w:val="22"/>
              </w:rPr>
            </w:pPr>
            <w:r>
              <w:rPr>
                <w:b/>
                <w:bCs/>
                <w:sz w:val="22"/>
                <w:szCs w:val="22"/>
              </w:rPr>
              <w:t>Approach</w:t>
            </w:r>
          </w:p>
        </w:tc>
        <w:tc>
          <w:tcPr>
            <w:tcW w:w="2241" w:type="dxa"/>
          </w:tcPr>
          <w:p w14:paraId="1B0370B7" w14:textId="77777777" w:rsidR="00B43AF8" w:rsidRPr="00DE3DCA" w:rsidRDefault="00B43AF8" w:rsidP="00B43AF8">
            <w:pPr>
              <w:spacing w:line="240" w:lineRule="auto"/>
              <w:jc w:val="left"/>
              <w:rPr>
                <w:b/>
                <w:bCs/>
                <w:sz w:val="22"/>
                <w:szCs w:val="22"/>
              </w:rPr>
            </w:pPr>
            <w:r>
              <w:rPr>
                <w:b/>
                <w:bCs/>
                <w:sz w:val="22"/>
                <w:szCs w:val="22"/>
              </w:rPr>
              <w:t>Demand-Supply Split</w:t>
            </w:r>
          </w:p>
        </w:tc>
        <w:tc>
          <w:tcPr>
            <w:tcW w:w="1366" w:type="dxa"/>
          </w:tcPr>
          <w:p w14:paraId="6E07E130" w14:textId="77777777" w:rsidR="00B43AF8" w:rsidRPr="00DE3DCA" w:rsidRDefault="00B43AF8" w:rsidP="00B43AF8">
            <w:pPr>
              <w:spacing w:line="240" w:lineRule="auto"/>
              <w:jc w:val="left"/>
              <w:rPr>
                <w:b/>
                <w:bCs/>
                <w:sz w:val="22"/>
                <w:szCs w:val="22"/>
              </w:rPr>
            </w:pPr>
            <w:r>
              <w:rPr>
                <w:b/>
                <w:bCs/>
                <w:sz w:val="22"/>
                <w:szCs w:val="22"/>
              </w:rPr>
              <w:t>Supply side estimated</w:t>
            </w:r>
          </w:p>
        </w:tc>
      </w:tr>
      <w:tr w:rsidR="00B43AF8" w14:paraId="2FCA101F" w14:textId="77777777" w:rsidTr="00B43AF8">
        <w:trPr>
          <w:trHeight w:val="686"/>
        </w:trPr>
        <w:tc>
          <w:tcPr>
            <w:tcW w:w="1555" w:type="dxa"/>
          </w:tcPr>
          <w:p w14:paraId="028CD818" w14:textId="77777777" w:rsidR="00B43AF8" w:rsidRPr="00B43AF8" w:rsidRDefault="00B43AF8" w:rsidP="00B43AF8">
            <w:pPr>
              <w:spacing w:line="240" w:lineRule="auto"/>
              <w:jc w:val="left"/>
              <w:rPr>
                <w:sz w:val="22"/>
                <w:szCs w:val="22"/>
              </w:rPr>
            </w:pPr>
            <w:r>
              <w:rPr>
                <w:sz w:val="22"/>
                <w:szCs w:val="22"/>
              </w:rPr>
              <w:t>Ugbehe et al. (2025)</w:t>
            </w:r>
          </w:p>
        </w:tc>
        <w:tc>
          <w:tcPr>
            <w:tcW w:w="1275" w:type="dxa"/>
          </w:tcPr>
          <w:p w14:paraId="704AC205" w14:textId="77777777" w:rsidR="00B43AF8" w:rsidRPr="00B43AF8" w:rsidRDefault="00B43AF8" w:rsidP="00B43AF8">
            <w:pPr>
              <w:spacing w:line="240" w:lineRule="auto"/>
              <w:jc w:val="left"/>
              <w:rPr>
                <w:sz w:val="22"/>
                <w:szCs w:val="22"/>
              </w:rPr>
            </w:pPr>
            <w:r>
              <w:rPr>
                <w:sz w:val="22"/>
                <w:szCs w:val="22"/>
              </w:rPr>
              <w:t>Nigeria</w:t>
            </w:r>
          </w:p>
        </w:tc>
        <w:tc>
          <w:tcPr>
            <w:tcW w:w="2579" w:type="dxa"/>
          </w:tcPr>
          <w:p w14:paraId="7F022796" w14:textId="77777777" w:rsidR="00B43AF8" w:rsidRPr="00B43AF8" w:rsidRDefault="00B43AF8" w:rsidP="00B43AF8">
            <w:pPr>
              <w:spacing w:line="240" w:lineRule="auto"/>
              <w:jc w:val="left"/>
              <w:rPr>
                <w:sz w:val="22"/>
                <w:szCs w:val="22"/>
              </w:rPr>
            </w:pPr>
            <w:r>
              <w:rPr>
                <w:sz w:val="22"/>
                <w:szCs w:val="22"/>
              </w:rPr>
              <w:t>Deterministic gross-up of consumption</w:t>
            </w:r>
          </w:p>
        </w:tc>
        <w:tc>
          <w:tcPr>
            <w:tcW w:w="2241" w:type="dxa"/>
          </w:tcPr>
          <w:p w14:paraId="10B59A4F" w14:textId="77777777" w:rsidR="00B43AF8" w:rsidRPr="00B43AF8" w:rsidRDefault="00B43AF8" w:rsidP="00B43AF8">
            <w:pPr>
              <w:spacing w:line="240" w:lineRule="auto"/>
              <w:jc w:val="left"/>
              <w:rPr>
                <w:sz w:val="22"/>
                <w:szCs w:val="22"/>
              </w:rPr>
            </w:pPr>
            <w:r>
              <w:rPr>
                <w:sz w:val="22"/>
                <w:szCs w:val="22"/>
              </w:rPr>
              <w:t>Assumed (fixed factors)</w:t>
            </w:r>
          </w:p>
        </w:tc>
        <w:tc>
          <w:tcPr>
            <w:tcW w:w="1366" w:type="dxa"/>
          </w:tcPr>
          <w:p w14:paraId="21ED8312" w14:textId="77777777" w:rsidR="00B43AF8" w:rsidRPr="00B43AF8" w:rsidRDefault="00B43AF8" w:rsidP="00B43AF8">
            <w:pPr>
              <w:spacing w:line="240" w:lineRule="auto"/>
              <w:jc w:val="left"/>
              <w:rPr>
                <w:sz w:val="22"/>
                <w:szCs w:val="22"/>
              </w:rPr>
            </w:pPr>
            <w:r>
              <w:rPr>
                <w:sz w:val="22"/>
                <w:szCs w:val="22"/>
              </w:rPr>
              <w:t>No</w:t>
            </w:r>
          </w:p>
        </w:tc>
      </w:tr>
      <w:tr w:rsidR="00B43AF8" w14:paraId="30DF6506" w14:textId="77777777" w:rsidTr="00B43AF8">
        <w:tc>
          <w:tcPr>
            <w:tcW w:w="1555" w:type="dxa"/>
          </w:tcPr>
          <w:p w14:paraId="75D95325" w14:textId="77777777" w:rsidR="00B43AF8" w:rsidRPr="00B43AF8" w:rsidRDefault="00B43AF8" w:rsidP="00B43AF8">
            <w:pPr>
              <w:spacing w:line="240" w:lineRule="auto"/>
              <w:jc w:val="left"/>
              <w:rPr>
                <w:sz w:val="22"/>
                <w:szCs w:val="22"/>
              </w:rPr>
            </w:pPr>
            <w:r>
              <w:rPr>
                <w:sz w:val="22"/>
                <w:szCs w:val="22"/>
              </w:rPr>
              <w:t>Dramani et al. (2024)</w:t>
            </w:r>
          </w:p>
        </w:tc>
        <w:tc>
          <w:tcPr>
            <w:tcW w:w="1275" w:type="dxa"/>
          </w:tcPr>
          <w:p w14:paraId="2D57A323" w14:textId="77777777" w:rsidR="00B43AF8" w:rsidRPr="00B43AF8" w:rsidRDefault="00B43AF8" w:rsidP="00B43AF8">
            <w:pPr>
              <w:spacing w:line="240" w:lineRule="auto"/>
              <w:jc w:val="left"/>
              <w:rPr>
                <w:sz w:val="22"/>
                <w:szCs w:val="22"/>
              </w:rPr>
            </w:pPr>
            <w:r>
              <w:rPr>
                <w:sz w:val="22"/>
                <w:szCs w:val="22"/>
              </w:rPr>
              <w:t>Ghana</w:t>
            </w:r>
          </w:p>
        </w:tc>
        <w:tc>
          <w:tcPr>
            <w:tcW w:w="2579" w:type="dxa"/>
          </w:tcPr>
          <w:p w14:paraId="161A3063" w14:textId="77777777" w:rsidR="00B43AF8" w:rsidRPr="00B43AF8" w:rsidRDefault="00B43AF8" w:rsidP="00B43AF8">
            <w:pPr>
              <w:spacing w:line="240" w:lineRule="auto"/>
              <w:jc w:val="left"/>
              <w:rPr>
                <w:sz w:val="22"/>
                <w:szCs w:val="22"/>
              </w:rPr>
            </w:pPr>
            <w:r>
              <w:rPr>
                <w:sz w:val="22"/>
                <w:szCs w:val="22"/>
              </w:rPr>
              <w:t>Quantile ARDL on a constructed index</w:t>
            </w:r>
          </w:p>
        </w:tc>
        <w:tc>
          <w:tcPr>
            <w:tcW w:w="2241" w:type="dxa"/>
          </w:tcPr>
          <w:p w14:paraId="05BF0210" w14:textId="77777777" w:rsidR="00B43AF8" w:rsidRPr="00B43AF8" w:rsidRDefault="00B43AF8" w:rsidP="00B43AF8">
            <w:pPr>
              <w:spacing w:line="240" w:lineRule="auto"/>
              <w:jc w:val="left"/>
              <w:rPr>
                <w:sz w:val="22"/>
                <w:szCs w:val="22"/>
              </w:rPr>
            </w:pPr>
            <w:r>
              <w:rPr>
                <w:sz w:val="22"/>
                <w:szCs w:val="22"/>
              </w:rPr>
              <w:t>Assumed (pre-constructed)</w:t>
            </w:r>
          </w:p>
        </w:tc>
        <w:tc>
          <w:tcPr>
            <w:tcW w:w="1366" w:type="dxa"/>
          </w:tcPr>
          <w:p w14:paraId="0BBEC6DB" w14:textId="77777777" w:rsidR="00B43AF8" w:rsidRPr="00B43AF8" w:rsidRDefault="00B43AF8" w:rsidP="00B43AF8">
            <w:pPr>
              <w:spacing w:line="240" w:lineRule="auto"/>
              <w:jc w:val="left"/>
              <w:rPr>
                <w:sz w:val="22"/>
                <w:szCs w:val="22"/>
              </w:rPr>
            </w:pPr>
            <w:r>
              <w:rPr>
                <w:sz w:val="22"/>
                <w:szCs w:val="22"/>
              </w:rPr>
              <w:t>No</w:t>
            </w:r>
          </w:p>
        </w:tc>
      </w:tr>
      <w:tr w:rsidR="00B43AF8" w14:paraId="06A1373F" w14:textId="77777777" w:rsidTr="00B43AF8">
        <w:tc>
          <w:tcPr>
            <w:tcW w:w="1555" w:type="dxa"/>
          </w:tcPr>
          <w:p w14:paraId="05336A21" w14:textId="77777777" w:rsidR="00B43AF8" w:rsidRPr="00B43AF8" w:rsidRDefault="00B43AF8" w:rsidP="00B43AF8">
            <w:pPr>
              <w:spacing w:line="240" w:lineRule="auto"/>
              <w:jc w:val="left"/>
              <w:rPr>
                <w:sz w:val="22"/>
                <w:szCs w:val="22"/>
              </w:rPr>
            </w:pPr>
            <w:r>
              <w:rPr>
                <w:sz w:val="22"/>
                <w:szCs w:val="22"/>
              </w:rPr>
              <w:t>Ojameruaye (1988)</w:t>
            </w:r>
          </w:p>
        </w:tc>
        <w:tc>
          <w:tcPr>
            <w:tcW w:w="1275" w:type="dxa"/>
          </w:tcPr>
          <w:p w14:paraId="207B2A63" w14:textId="77777777" w:rsidR="00B43AF8" w:rsidRPr="00B43AF8" w:rsidRDefault="00B43AF8" w:rsidP="00B43AF8">
            <w:pPr>
              <w:spacing w:line="240" w:lineRule="auto"/>
              <w:jc w:val="left"/>
              <w:rPr>
                <w:sz w:val="22"/>
                <w:szCs w:val="22"/>
              </w:rPr>
            </w:pPr>
            <w:r>
              <w:rPr>
                <w:sz w:val="22"/>
                <w:szCs w:val="22"/>
              </w:rPr>
              <w:t>Nigeria (NEPA era)</w:t>
            </w:r>
          </w:p>
        </w:tc>
        <w:tc>
          <w:tcPr>
            <w:tcW w:w="2579" w:type="dxa"/>
          </w:tcPr>
          <w:p w14:paraId="3015ECDC" w14:textId="77777777" w:rsidR="00B43AF8" w:rsidRPr="00B43AF8" w:rsidRDefault="00B43AF8" w:rsidP="00B43AF8">
            <w:pPr>
              <w:spacing w:line="240" w:lineRule="auto"/>
              <w:jc w:val="left"/>
              <w:rPr>
                <w:sz w:val="22"/>
                <w:szCs w:val="22"/>
              </w:rPr>
            </w:pPr>
            <w:r>
              <w:rPr>
                <w:sz w:val="22"/>
                <w:szCs w:val="22"/>
              </w:rPr>
              <w:t>Disequilibrium, fixed reliability index</w:t>
            </w:r>
          </w:p>
        </w:tc>
        <w:tc>
          <w:tcPr>
            <w:tcW w:w="2241" w:type="dxa"/>
          </w:tcPr>
          <w:p w14:paraId="542C860B" w14:textId="77777777" w:rsidR="00B43AF8" w:rsidRPr="00B43AF8" w:rsidRDefault="00B43AF8" w:rsidP="00B43AF8">
            <w:pPr>
              <w:spacing w:line="240" w:lineRule="auto"/>
              <w:jc w:val="left"/>
              <w:rPr>
                <w:sz w:val="22"/>
                <w:szCs w:val="22"/>
              </w:rPr>
            </w:pPr>
            <w:r>
              <w:rPr>
                <w:sz w:val="22"/>
                <w:szCs w:val="22"/>
              </w:rPr>
              <w:t>Assumed (R = 0.95, constant)</w:t>
            </w:r>
          </w:p>
        </w:tc>
        <w:tc>
          <w:tcPr>
            <w:tcW w:w="1366" w:type="dxa"/>
          </w:tcPr>
          <w:p w14:paraId="4B1F30D5" w14:textId="77777777" w:rsidR="00B43AF8" w:rsidRPr="00B43AF8" w:rsidRDefault="00B43AF8" w:rsidP="00B43AF8">
            <w:pPr>
              <w:spacing w:line="240" w:lineRule="auto"/>
              <w:jc w:val="left"/>
              <w:rPr>
                <w:sz w:val="22"/>
                <w:szCs w:val="22"/>
              </w:rPr>
            </w:pPr>
            <w:r>
              <w:rPr>
                <w:sz w:val="22"/>
                <w:szCs w:val="22"/>
              </w:rPr>
              <w:t>No</w:t>
            </w:r>
          </w:p>
        </w:tc>
      </w:tr>
      <w:tr w:rsidR="00B43AF8" w14:paraId="7C5D68C6" w14:textId="77777777" w:rsidTr="00B43AF8">
        <w:tc>
          <w:tcPr>
            <w:tcW w:w="1555" w:type="dxa"/>
          </w:tcPr>
          <w:p w14:paraId="71D11385" w14:textId="77777777" w:rsidR="00B43AF8" w:rsidRPr="00B43AF8" w:rsidRDefault="00B43AF8" w:rsidP="00B43AF8">
            <w:pPr>
              <w:spacing w:line="240" w:lineRule="auto"/>
              <w:jc w:val="left"/>
              <w:rPr>
                <w:sz w:val="22"/>
                <w:szCs w:val="22"/>
              </w:rPr>
            </w:pPr>
            <w:r>
              <w:rPr>
                <w:sz w:val="22"/>
                <w:szCs w:val="22"/>
              </w:rPr>
              <w:lastRenderedPageBreak/>
              <w:t>This paper</w:t>
            </w:r>
          </w:p>
        </w:tc>
        <w:tc>
          <w:tcPr>
            <w:tcW w:w="1275" w:type="dxa"/>
          </w:tcPr>
          <w:p w14:paraId="7CE6D8E3" w14:textId="77777777" w:rsidR="00B43AF8" w:rsidRPr="00B43AF8" w:rsidRDefault="00B43AF8" w:rsidP="00B43AF8">
            <w:pPr>
              <w:spacing w:line="240" w:lineRule="auto"/>
              <w:jc w:val="left"/>
              <w:rPr>
                <w:sz w:val="22"/>
                <w:szCs w:val="22"/>
              </w:rPr>
            </w:pPr>
            <w:r>
              <w:rPr>
                <w:sz w:val="22"/>
                <w:szCs w:val="22"/>
              </w:rPr>
              <w:t>Nigeria (post-2013)</w:t>
            </w:r>
          </w:p>
        </w:tc>
        <w:tc>
          <w:tcPr>
            <w:tcW w:w="2579" w:type="dxa"/>
          </w:tcPr>
          <w:p w14:paraId="3F1B7B2B" w14:textId="77777777" w:rsidR="00B43AF8" w:rsidRPr="00B43AF8" w:rsidRDefault="00B43AF8" w:rsidP="00B43AF8">
            <w:pPr>
              <w:spacing w:line="240" w:lineRule="auto"/>
              <w:jc w:val="left"/>
              <w:rPr>
                <w:sz w:val="22"/>
                <w:szCs w:val="22"/>
              </w:rPr>
            </w:pPr>
            <w:r>
              <w:rPr>
                <w:sz w:val="22"/>
                <w:szCs w:val="22"/>
              </w:rPr>
              <w:t>Joint ML disequilibrium (Maddala–Nelson Model 1)</w:t>
            </w:r>
          </w:p>
        </w:tc>
        <w:tc>
          <w:tcPr>
            <w:tcW w:w="2241" w:type="dxa"/>
          </w:tcPr>
          <w:p w14:paraId="1C510075" w14:textId="77777777" w:rsidR="00B43AF8" w:rsidRPr="00B43AF8" w:rsidRDefault="00B43AF8" w:rsidP="00B43AF8">
            <w:pPr>
              <w:spacing w:line="240" w:lineRule="auto"/>
              <w:jc w:val="left"/>
              <w:rPr>
                <w:sz w:val="22"/>
                <w:szCs w:val="22"/>
              </w:rPr>
            </w:pPr>
            <w:r>
              <w:rPr>
                <w:sz w:val="22"/>
                <w:szCs w:val="22"/>
              </w:rPr>
              <w:t>Estimated from the data</w:t>
            </w:r>
          </w:p>
        </w:tc>
        <w:tc>
          <w:tcPr>
            <w:tcW w:w="1366" w:type="dxa"/>
          </w:tcPr>
          <w:p w14:paraId="6A8B4831" w14:textId="77777777" w:rsidR="00B43AF8" w:rsidRPr="00B43AF8" w:rsidRDefault="00B43AF8" w:rsidP="00B43AF8">
            <w:pPr>
              <w:spacing w:line="240" w:lineRule="auto"/>
              <w:jc w:val="left"/>
              <w:rPr>
                <w:sz w:val="22"/>
                <w:szCs w:val="22"/>
              </w:rPr>
            </w:pPr>
            <w:r>
              <w:rPr>
                <w:sz w:val="22"/>
                <w:szCs w:val="22"/>
              </w:rPr>
              <w:t>Yes</w:t>
            </w:r>
          </w:p>
        </w:tc>
      </w:tr>
    </w:tbl>
    <w:p w14:paraId="26896021" w14:textId="77777777" w:rsidR="00B43AF8" w:rsidRDefault="00B43AF8" w:rsidP="00B43AF8"/>
    <w:p w14:paraId="7F39908D" w14:textId="77777777" w:rsidR="001F426E" w:rsidRDefault="001F426E" w:rsidP="00B43AF8"/>
    <w:p w14:paraId="5E6B64C3" w14:textId="77777777" w:rsidR="001F426E" w:rsidRDefault="001F426E" w:rsidP="00B43AF8"/>
    <w:p w14:paraId="59056A46" w14:textId="77777777" w:rsidR="001F426E" w:rsidRDefault="001F426E" w:rsidP="00B43AF8"/>
    <w:p w14:paraId="3FCAECAD" w14:textId="77777777" w:rsidR="001F426E" w:rsidRDefault="001F426E" w:rsidP="00B43AF8"/>
    <w:p w14:paraId="66E67C3E" w14:textId="77777777" w:rsidR="001F426E" w:rsidRDefault="001F426E" w:rsidP="00B43AF8"/>
    <w:p w14:paraId="333936BC" w14:textId="77777777" w:rsidR="001F426E" w:rsidRDefault="001F426E" w:rsidP="00B43AF8"/>
    <w:p w14:paraId="34F58677" w14:textId="77777777" w:rsidR="001F426E" w:rsidRDefault="001F426E" w:rsidP="00B43AF8"/>
    <w:p w14:paraId="4A345799" w14:textId="77777777" w:rsidR="001F426E" w:rsidRDefault="001F426E" w:rsidP="00B43AF8"/>
    <w:p w14:paraId="551176A7" w14:textId="77777777" w:rsidR="001F426E" w:rsidRDefault="001F426E" w:rsidP="00B43AF8"/>
    <w:p w14:paraId="1A01B7FE" w14:textId="77777777" w:rsidR="001F426E" w:rsidRDefault="001F426E" w:rsidP="00B43AF8"/>
    <w:p w14:paraId="4EFC3E26" w14:textId="77777777" w:rsidR="001F426E" w:rsidRDefault="001F426E" w:rsidP="00B43AF8"/>
    <w:p w14:paraId="3DE91E75" w14:textId="77777777" w:rsidR="001F426E" w:rsidRDefault="001F426E" w:rsidP="00B43AF8"/>
    <w:p w14:paraId="33424280" w14:textId="77777777" w:rsidR="001F426E" w:rsidRDefault="001F426E" w:rsidP="00B43AF8"/>
    <w:p w14:paraId="0FFDF3BB" w14:textId="77777777" w:rsidR="001F426E" w:rsidRDefault="001F426E" w:rsidP="00B43AF8"/>
    <w:p w14:paraId="1C7C0E80" w14:textId="77777777" w:rsidR="001F426E" w:rsidRDefault="001F426E" w:rsidP="00B43AF8"/>
    <w:p w14:paraId="5E44F580" w14:textId="77777777" w:rsidR="001F426E" w:rsidRDefault="001F426E" w:rsidP="00B43AF8"/>
    <w:p w14:paraId="168B27C3" w14:textId="77777777" w:rsidR="00053EBE" w:rsidRPr="00AA11A5" w:rsidRDefault="004B37CE" w:rsidP="004B37CE">
      <w:pPr>
        <w:pStyle w:val="Heading2"/>
        <w:numPr>
          <w:ilvl w:val="0"/>
          <w:numId w:val="0"/>
        </w:numPr>
      </w:pPr>
      <w:bookmarkStart w:id="3" w:name="_Toc240994329"/>
      <w:r>
        <w:lastRenderedPageBreak/>
        <w:t xml:space="preserve">3.0 </w:t>
      </w:r>
      <w:bookmarkEnd w:id="3"/>
      <w:r>
        <w:t>Nigeria's post-privatisation electricity market</w:t>
      </w:r>
    </w:p>
    <w:p w14:paraId="73812BC5" w14:textId="77777777" w:rsidR="00D26E2C" w:rsidRDefault="00D26E2C" w:rsidP="00D26E2C">
      <w:r>
        <w:t>Nigeria's electricity supply industry was privatised in November 2013, when the state monopoly was unbundled into eleven regional distribution companies (DISCOs), six generation companies, and a single, state-retained transmission company (Transmission Company of Nigeria), the "11-6-1" structure that still defines the sector (Daily Trust, 2025). The eleven DISCOs are territorial monopolies: each holds the exclusive licence to distribute electricity within a defined franchise area, and together they cover the entire country. This structure makes the DISCO-quarter the natural unit of analysis: eleven comparable entities, each facing the same national generation and transmission system but serving distinct territories with different economic and demographic profiles.</w:t>
      </w:r>
    </w:p>
    <w:p w14:paraId="3D790CCB" w14:textId="77777777" w:rsidR="00D26E2C" w:rsidRDefault="00D26E2C" w:rsidP="00D26E2C">
      <w:r>
        <w:t>Three features of how the sector operates are essential to what follows.</w:t>
      </w:r>
    </w:p>
    <w:p w14:paraId="67EC94B2" w14:textId="77777777" w:rsidR="00D26E2C" w:rsidRDefault="00D26E2C" w:rsidP="00D26E2C">
      <w:r>
        <w:rPr>
          <w:b/>
          <w:bCs/>
        </w:rPr>
        <w:t>Supply is constrained upstream of the DISCOs.</w:t>
      </w:r>
      <w:r>
        <w:t xml:space="preserve"> Electricity reaches a DISCO only after passing through generation and the single national transmission grid. Both are chronically limited: against installed generation capacity of roughly 13 GW, average power actually delivered to the grid over the study period was under 4 GW, the shortfall driven by gas supply constraints, plant unavailability, and transmission bottlenecks on the supply side. A DISCO cannot draw more than the system delivers to it, regardless of how much its customers would consume, which is precisely the condition under which observed offtake is the short side of a non-clearing market.</w:t>
      </w:r>
    </w:p>
    <w:p w14:paraId="7A115F68" w14:textId="77777777" w:rsidR="00D26E2C" w:rsidRDefault="00D26E2C" w:rsidP="00D26E2C">
      <w:r>
        <w:rPr>
          <w:b/>
          <w:bCs/>
        </w:rPr>
        <w:t>Each DISCO's supply is administratively allocated, not purchased at a clearing price.</w:t>
      </w:r>
      <w:r>
        <w:t xml:space="preserve"> The volume of power a DISCO is entitled to draw is set through its contracted capacity (a regulated allocation, revised through NERC's tariff-order process), not determined by a bid into a spot market. This matters for identification: because the allocation is set administratively and revised on a regulatory schedule, it shifts a DISCO's available supply without being a response to that DISCO's demand in the same quarter, the exclusion restriction Section 5 relies on.</w:t>
      </w:r>
    </w:p>
    <w:p w14:paraId="07860475" w14:textId="77777777" w:rsidR="00D26E2C" w:rsidRDefault="00D26E2C" w:rsidP="00D26E2C">
      <w:r>
        <w:rPr>
          <w:b/>
          <w:bCs/>
        </w:rPr>
        <w:t>Tariffs do not clear the market.</w:t>
      </w:r>
      <w:r>
        <w:t xml:space="preserve"> Retail tariffs are set by the regulator under the Multi-Year Tariff Order and held below cost-reflective levels by government subsidy; as NERC's own chairman has described it, what a customer pays is "a blend of regulation and policy," with the government covering the difference between the regulated and the cost-reflective price (AllAfrica, 2024). Price therefore does not adjust to equate demand and supply. When the grid </w:t>
      </w:r>
      <w:r>
        <w:lastRenderedPageBreak/>
        <w:t>is short, the shortfall is resolved by rationing (load-shedding), not by a price rise that clears the market. This is the defining precondition of the disequilibrium framework: with price unable to do the work of allocation, quantity is rationed, and observed consumption reveals the short side rather than true demand.</w:t>
      </w:r>
    </w:p>
    <w:p w14:paraId="3B65B0BB" w14:textId="77777777" w:rsidR="001F426E" w:rsidRDefault="001F426E" w:rsidP="00D26E2C"/>
    <w:p w14:paraId="4739C090" w14:textId="77777777" w:rsidR="001F426E" w:rsidRDefault="001F426E" w:rsidP="00D26E2C"/>
    <w:p w14:paraId="0D9D2ADC" w14:textId="77777777" w:rsidR="001F426E" w:rsidRDefault="001F426E" w:rsidP="00D26E2C"/>
    <w:p w14:paraId="6181E587" w14:textId="77777777" w:rsidR="001F426E" w:rsidRDefault="001F426E" w:rsidP="00D26E2C"/>
    <w:p w14:paraId="4F4F614E" w14:textId="77777777" w:rsidR="001F426E" w:rsidRDefault="001F426E" w:rsidP="00D26E2C"/>
    <w:p w14:paraId="3354D171" w14:textId="77777777" w:rsidR="001F426E" w:rsidRDefault="001F426E" w:rsidP="00D26E2C"/>
    <w:p w14:paraId="57F3A94D" w14:textId="77777777" w:rsidR="001F426E" w:rsidRDefault="001F426E" w:rsidP="00D26E2C"/>
    <w:p w14:paraId="39B2D33A" w14:textId="77777777" w:rsidR="001F426E" w:rsidRDefault="001F426E" w:rsidP="00D26E2C"/>
    <w:p w14:paraId="1C5E3343" w14:textId="77777777" w:rsidR="001F426E" w:rsidRDefault="001F426E" w:rsidP="00D26E2C"/>
    <w:p w14:paraId="64E146FD" w14:textId="77777777" w:rsidR="001F426E" w:rsidRDefault="001F426E" w:rsidP="00D26E2C"/>
    <w:p w14:paraId="316D33D9" w14:textId="77777777" w:rsidR="001F426E" w:rsidRDefault="001F426E" w:rsidP="00D26E2C"/>
    <w:p w14:paraId="456AE0CD" w14:textId="77777777" w:rsidR="001F426E" w:rsidRDefault="001F426E" w:rsidP="00D26E2C"/>
    <w:p w14:paraId="303EF190" w14:textId="77777777" w:rsidR="001F426E" w:rsidRDefault="001F426E" w:rsidP="00D26E2C"/>
    <w:p w14:paraId="79C5FA06" w14:textId="77777777" w:rsidR="001F426E" w:rsidRDefault="001F426E" w:rsidP="00D26E2C"/>
    <w:p w14:paraId="3B15BAC8" w14:textId="77777777" w:rsidR="001F426E" w:rsidRDefault="001F426E" w:rsidP="00D26E2C"/>
    <w:p w14:paraId="4BAB5536" w14:textId="77777777" w:rsidR="001F426E" w:rsidRDefault="001F426E" w:rsidP="00D26E2C"/>
    <w:p w14:paraId="06F0C832" w14:textId="77777777" w:rsidR="00D26E2C" w:rsidRDefault="00D26E2C" w:rsidP="00D26E2C">
      <w:pPr>
        <w:pStyle w:val="Heading2"/>
        <w:numPr>
          <w:ilvl w:val="0"/>
          <w:numId w:val="0"/>
        </w:numPr>
      </w:pPr>
      <w:r>
        <w:lastRenderedPageBreak/>
        <w:t>4.0 Data</w:t>
      </w:r>
    </w:p>
    <w:p w14:paraId="5E3CD5E4" w14:textId="77777777" w:rsidR="00D26E2C" w:rsidRPr="00B43AF8" w:rsidRDefault="00D26E2C" w:rsidP="00D26E2C">
      <w:pPr>
        <w:pStyle w:val="Heading2"/>
        <w:numPr>
          <w:ilvl w:val="0"/>
          <w:numId w:val="0"/>
        </w:numPr>
      </w:pPr>
      <w:r>
        <w:t>4.1 Sources</w:t>
      </w:r>
    </w:p>
    <w:p w14:paraId="5EE680B7" w14:textId="77777777" w:rsidR="00D26E2C" w:rsidRDefault="00D26E2C" w:rsidP="00D26E2C">
      <w:r>
        <w:t>The panel is built from two primary sources, both official and both public.</w:t>
      </w:r>
    </w:p>
    <w:p w14:paraId="4BE4D41B" w14:textId="77777777" w:rsidR="00D26E2C" w:rsidRDefault="00D26E2C" w:rsidP="00D26E2C">
      <w:r>
        <w:t>The first is the quarterly reports of the Nigerian Electricity Regulatory Commission (NERC), which publishes, for each of the eleven DISCOs, the operational and commercial data the sector runs on: energy received from the grid, contracted capacity, billing and collection, customer counts, and, at the plant level, generation availability. These reports are the source of every supply- and quantity-side variable in the model. Because NERC's tabular formats vary across years, the series were extracted through a purpose-built pipeline combining automated page location with structured extraction, then cleaned and normalised into a consistent DISCO-quarter panel; the construction decisions that materially affect the estimation sample are documented in Section 4.2.</w:t>
      </w:r>
    </w:p>
    <w:p w14:paraId="24A9F1AB" w14:textId="77777777" w:rsidR="00D26E2C" w:rsidRPr="00AA11A5" w:rsidRDefault="00D26E2C" w:rsidP="00D26E2C">
      <w:r>
        <w:t>The second is the National Bureau of Statistics' record of state-level Internally Generated Revenue (IGR), the revenue each state government raises from taxes, fees, and levies within its own territory. IGR serves as the model's demand shifter, and the rationale for that choice is set out in Section 5. We use a single NBS-sourced series covering 2016 to 2024, aggregated from constituent states to DISCO franchise areas.</w:t>
      </w:r>
    </w:p>
    <w:p w14:paraId="26A8E924" w14:textId="77777777" w:rsidR="00C55218" w:rsidRDefault="00D26E2C" w:rsidP="004B37CE">
      <w:pPr>
        <w:pStyle w:val="Heading2"/>
        <w:numPr>
          <w:ilvl w:val="0"/>
          <w:numId w:val="0"/>
        </w:numPr>
      </w:pPr>
      <w:bookmarkStart w:id="4" w:name="_Toc240994330"/>
      <w:r>
        <w:t xml:space="preserve">4.2 </w:t>
      </w:r>
      <w:bookmarkEnd w:id="1"/>
      <w:bookmarkEnd w:id="4"/>
      <w:r>
        <w:t>Data-constrained research design</w:t>
      </w:r>
    </w:p>
    <w:p w14:paraId="3904D083" w14:textId="77777777" w:rsidR="007D777A" w:rsidRDefault="007D777A" w:rsidP="007D777A">
      <w:r>
        <w:t>The estimation window, and several variable choices, are determined by what NERC's public reporting archive makes available and comparable — not by a theoretically preferred horizon or specification. Three constraints shaped the design directly.</w:t>
      </w:r>
    </w:p>
    <w:p w14:paraId="08C0018B" w14:textId="77777777" w:rsidR="007D777A" w:rsidRDefault="007D777A" w:rsidP="007D777A">
      <w:r>
        <w:t>The panel begins in 2022Q4 because that is where NERC's reports first provide offtake and contracted capacity in the hourly-average (MWh/h) form the model requires; earlier reports do not carry these variables in a comparable unit. It ends in 2026Q1 because that is NERC's most recent published quarterly report at the time of estimation.</w:t>
      </w:r>
    </w:p>
    <w:p w14:paraId="4907DDB4" w14:textId="77777777" w:rsidR="007D777A" w:rsidRDefault="007D777A" w:rsidP="007D777A">
      <w:r>
        <w:t xml:space="preserve">State-level GDP was considered as an alternative demand shifter to IGR and set aside: Nigeria's National Bureau of Statistics published state nominal GDP for 2013–2017 only, covering a subset of states, with no comparable series since. No state-level GDP series exists at the </w:t>
      </w:r>
      <w:r>
        <w:lastRenderedPageBreak/>
        <w:t>resolution or currency this panel requires. IGR (2016–2024, all states, single primary source) was adopted for this reason.</w:t>
      </w:r>
    </w:p>
    <w:p w14:paraId="4DD122AC" w14:textId="77777777" w:rsidR="00BE5932" w:rsidRDefault="007D777A" w:rsidP="00D26E2C">
      <w:r>
        <w:t>Customer counts were tested as a demand-side variable during specification search and excluded, not for lack of explanatory content, but because NERC's shift from "registered" to "active registered" customer reporting between the 2024 and mid-2025 filings introduces a definitional break that cannot be reliably harmonised within the available reports (Section 6.3).</w:t>
      </w:r>
      <w:bookmarkStart w:id="5" w:name="_Toc150752423"/>
    </w:p>
    <w:p w14:paraId="6B2C09FB" w14:textId="77777777" w:rsidR="007D777A" w:rsidRDefault="007D777A" w:rsidP="007D777A">
      <w:pPr>
        <w:pStyle w:val="Heading2"/>
        <w:numPr>
          <w:ilvl w:val="0"/>
          <w:numId w:val="0"/>
        </w:numPr>
      </w:pPr>
      <w:r>
        <w:t>4.3 Panel Construction</w:t>
      </w:r>
    </w:p>
    <w:p w14:paraId="1387D8CC" w14:textId="77777777" w:rsidR="007D777A" w:rsidRDefault="007D777A" w:rsidP="007D777A">
      <w:r>
        <w:t>The unit of observation is the DISCO-quarter. The estimation sample comprises 154 observations: eleven DISCOs across fourteen quarters, from 2022Q4 to 2026Q1, the full span over which NERC reports offtake and contracted capacity at the hourly-average level (MWh/h) the model requires, the unit at which the supply constraint actually binds. Two construction decisions within this window affect the sample and are stated explicitly.</w:t>
      </w:r>
    </w:p>
    <w:p w14:paraId="5D94D244" w14:textId="77777777" w:rsidR="007D777A" w:rsidRDefault="007D777A" w:rsidP="007D777A">
      <w:r>
        <w:t>First, plant availability for four early quarters (2022Q4–2023Q3) was not present in the standard extracted plant tables. For three of them (2022Q4–2023Q2), it was reconstructed from the average available generation capacity stated in each quarter's report narrative, divided by installed capacity; the method was validated by applying it to 2023Q3, where the report separately states the resulting figure (33.31 per cent) directly, and the reconstruction matched to two decimal places. For 2023Q3 itself, an initial automated extraction returned an incorrect availability figure (36.07 per cent), which was identified by cross-checking against the report's own stated value and corrected before estimation. No other variable or quarter required correction.</w:t>
      </w:r>
    </w:p>
    <w:p w14:paraId="31535179" w14:textId="77777777" w:rsidR="007D777A" w:rsidRPr="00AA11A5" w:rsidRDefault="007D777A" w:rsidP="00D26E2C">
      <w:r>
        <w:t>Second, a definitional break in reported customer counts (NERC's shift from "registered" to "active registered" customers between the 2024 and mid-2025 reports) produces a large, artificial drop in the customer series for most DISCOs at that transition. Because the final specification does not use customer counts (Section 5), this break does not enter the estimated model; it is noted here because it shaped an earlier stage of variable selection and because it affects any customer-based series a reader might construct from the same source.</w:t>
      </w:r>
    </w:p>
    <w:p w14:paraId="64694F78" w14:textId="77777777" w:rsidR="00C55218" w:rsidRPr="00AA11A5" w:rsidRDefault="00D26E2C" w:rsidP="004B37CE">
      <w:pPr>
        <w:pStyle w:val="Heading2"/>
        <w:numPr>
          <w:ilvl w:val="0"/>
          <w:numId w:val="0"/>
        </w:numPr>
        <w:rPr>
          <w:rFonts w:eastAsiaTheme="minorHAnsi" w:cstheme="minorBidi"/>
          <w:szCs w:val="24"/>
        </w:rPr>
      </w:pPr>
      <w:bookmarkStart w:id="6" w:name="_Toc240994331"/>
      <w:r>
        <w:lastRenderedPageBreak/>
        <w:t xml:space="preserve">4.4 </w:t>
      </w:r>
      <w:bookmarkEnd w:id="5"/>
      <w:bookmarkEnd w:id="6"/>
      <w:r>
        <w:t>Variables and descriptive statistics</w:t>
      </w:r>
    </w:p>
    <w:p w14:paraId="371A977F" w14:textId="77777777" w:rsidR="00296F9B" w:rsidRDefault="00D26E2C" w:rsidP="004B37CE">
      <w:r>
        <w:t>The model uses four quantities directly. Observed offtake (Q) is the energy each DISCO draws from the grid, in MWh/h. Contracted capacity (PCC) is the administratively allocated ceiling on that draw. Plant availability (PAF) is the share of national installed generation available in the quarter. State IGR, aggregated to the DISCO, proxies formal economic activity on the demand side. Table 2 reports their distributions.</w:t>
      </w:r>
    </w:p>
    <w:p w14:paraId="1232A201" w14:textId="77777777" w:rsidR="004163BA" w:rsidRDefault="00000000">
      <w:pPr>
        <w:keepNext/>
        <w:spacing w:before="160" w:after="80"/>
      </w:pPr>
      <w:r>
        <w:rPr>
          <w:b/>
          <w:sz w:val="20"/>
          <w:szCs w:val="20"/>
        </w:rPr>
        <w:t>Table 2. Descriptive statistics for the estimation sample (154 DISCO-quarters).</w:t>
      </w:r>
    </w:p>
    <w:tbl>
      <w:tblPr>
        <w:tblStyle w:val="TableGrid"/>
        <w:tblW w:w="0" w:type="auto"/>
        <w:tblLook w:val="04A0" w:firstRow="1" w:lastRow="0" w:firstColumn="1" w:lastColumn="0" w:noHBand="0" w:noVBand="1"/>
      </w:tblPr>
      <w:tblGrid>
        <w:gridCol w:w="4106"/>
        <w:gridCol w:w="992"/>
        <w:gridCol w:w="993"/>
        <w:gridCol w:w="992"/>
        <w:gridCol w:w="992"/>
        <w:gridCol w:w="941"/>
      </w:tblGrid>
      <w:tr w:rsidR="008C0CBA" w:rsidRPr="00DE3DCA" w14:paraId="795FA798" w14:textId="77777777" w:rsidTr="00070A1C">
        <w:tc>
          <w:tcPr>
            <w:tcW w:w="4106" w:type="dxa"/>
          </w:tcPr>
          <w:p w14:paraId="3B7DC30D" w14:textId="77777777" w:rsidR="008C0CBA" w:rsidRPr="00DE3DCA" w:rsidRDefault="008C0CBA" w:rsidP="00DE3DCA">
            <w:pPr>
              <w:spacing w:line="240" w:lineRule="auto"/>
              <w:rPr>
                <w:b/>
                <w:bCs/>
                <w:sz w:val="22"/>
                <w:szCs w:val="22"/>
              </w:rPr>
            </w:pPr>
            <w:r>
              <w:rPr>
                <w:b/>
                <w:bCs/>
                <w:sz w:val="22"/>
                <w:szCs w:val="22"/>
              </w:rPr>
              <w:t>Variable</w:t>
            </w:r>
          </w:p>
        </w:tc>
        <w:tc>
          <w:tcPr>
            <w:tcW w:w="992" w:type="dxa"/>
          </w:tcPr>
          <w:p w14:paraId="62B09686" w14:textId="77777777" w:rsidR="008C0CBA" w:rsidRPr="00DE3DCA" w:rsidRDefault="008C0CBA" w:rsidP="00DE3DCA">
            <w:pPr>
              <w:spacing w:line="240" w:lineRule="auto"/>
              <w:rPr>
                <w:b/>
                <w:bCs/>
                <w:sz w:val="22"/>
                <w:szCs w:val="22"/>
              </w:rPr>
            </w:pPr>
            <w:r>
              <w:rPr>
                <w:b/>
                <w:bCs/>
                <w:sz w:val="22"/>
                <w:szCs w:val="22"/>
              </w:rPr>
              <w:t>Mean</w:t>
            </w:r>
          </w:p>
        </w:tc>
        <w:tc>
          <w:tcPr>
            <w:tcW w:w="993" w:type="dxa"/>
          </w:tcPr>
          <w:p w14:paraId="2B8B737D" w14:textId="77777777" w:rsidR="008C0CBA" w:rsidRPr="00DE3DCA" w:rsidRDefault="008C0CBA" w:rsidP="00DE3DCA">
            <w:pPr>
              <w:spacing w:line="240" w:lineRule="auto"/>
              <w:rPr>
                <w:b/>
                <w:bCs/>
                <w:sz w:val="22"/>
                <w:szCs w:val="22"/>
              </w:rPr>
            </w:pPr>
            <w:r>
              <w:rPr>
                <w:b/>
                <w:bCs/>
                <w:sz w:val="22"/>
                <w:szCs w:val="22"/>
              </w:rPr>
              <w:t>SD</w:t>
            </w:r>
          </w:p>
        </w:tc>
        <w:tc>
          <w:tcPr>
            <w:tcW w:w="992" w:type="dxa"/>
          </w:tcPr>
          <w:p w14:paraId="1FDA4FF7" w14:textId="77777777" w:rsidR="008C0CBA" w:rsidRPr="00DE3DCA" w:rsidRDefault="00070A1C" w:rsidP="00DE3DCA">
            <w:pPr>
              <w:spacing w:line="240" w:lineRule="auto"/>
              <w:rPr>
                <w:b/>
                <w:bCs/>
                <w:sz w:val="22"/>
                <w:szCs w:val="22"/>
              </w:rPr>
            </w:pPr>
            <w:r>
              <w:rPr>
                <w:b/>
                <w:bCs/>
                <w:sz w:val="22"/>
                <w:szCs w:val="22"/>
              </w:rPr>
              <w:t>Min</w:t>
            </w:r>
          </w:p>
        </w:tc>
        <w:tc>
          <w:tcPr>
            <w:tcW w:w="992" w:type="dxa"/>
          </w:tcPr>
          <w:p w14:paraId="153A6A22" w14:textId="77777777" w:rsidR="008C0CBA" w:rsidRPr="00DE3DCA" w:rsidRDefault="00070A1C" w:rsidP="00DE3DCA">
            <w:pPr>
              <w:spacing w:line="240" w:lineRule="auto"/>
              <w:rPr>
                <w:b/>
                <w:bCs/>
                <w:sz w:val="22"/>
                <w:szCs w:val="22"/>
              </w:rPr>
            </w:pPr>
            <w:r>
              <w:rPr>
                <w:b/>
                <w:bCs/>
                <w:sz w:val="22"/>
                <w:szCs w:val="22"/>
              </w:rPr>
              <w:t>Median</w:t>
            </w:r>
          </w:p>
        </w:tc>
        <w:tc>
          <w:tcPr>
            <w:tcW w:w="941" w:type="dxa"/>
          </w:tcPr>
          <w:p w14:paraId="7D06650D" w14:textId="77777777" w:rsidR="008C0CBA" w:rsidRPr="00DE3DCA" w:rsidRDefault="00070A1C" w:rsidP="00DE3DCA">
            <w:pPr>
              <w:spacing w:line="240" w:lineRule="auto"/>
              <w:rPr>
                <w:b/>
                <w:bCs/>
                <w:sz w:val="22"/>
                <w:szCs w:val="22"/>
              </w:rPr>
            </w:pPr>
            <w:r>
              <w:rPr>
                <w:b/>
                <w:bCs/>
                <w:sz w:val="22"/>
                <w:szCs w:val="22"/>
              </w:rPr>
              <w:t>Max</w:t>
            </w:r>
          </w:p>
        </w:tc>
      </w:tr>
      <w:tr w:rsidR="008C0CBA" w:rsidRPr="00DE3DCA" w14:paraId="64451F0F" w14:textId="77777777" w:rsidTr="00070A1C">
        <w:tc>
          <w:tcPr>
            <w:tcW w:w="4106" w:type="dxa"/>
          </w:tcPr>
          <w:p w14:paraId="65AD666E" w14:textId="77777777" w:rsidR="008C0CBA" w:rsidRPr="00DE3DCA" w:rsidRDefault="00070A1C" w:rsidP="00DE3DCA">
            <w:pPr>
              <w:spacing w:line="240" w:lineRule="auto"/>
              <w:rPr>
                <w:sz w:val="22"/>
                <w:szCs w:val="22"/>
              </w:rPr>
            </w:pPr>
            <w:r>
              <w:rPr>
                <w:sz w:val="22"/>
                <w:szCs w:val="22"/>
              </w:rPr>
              <w:t>Offtake, Q (MWh/h)</w:t>
            </w:r>
          </w:p>
        </w:tc>
        <w:tc>
          <w:tcPr>
            <w:tcW w:w="992" w:type="dxa"/>
          </w:tcPr>
          <w:p w14:paraId="483F7FAC" w14:textId="77777777" w:rsidR="008C0CBA" w:rsidRPr="00DE3DCA" w:rsidRDefault="00070A1C" w:rsidP="00DE3DCA">
            <w:pPr>
              <w:spacing w:line="240" w:lineRule="auto"/>
              <w:rPr>
                <w:sz w:val="22"/>
                <w:szCs w:val="22"/>
              </w:rPr>
            </w:pPr>
            <w:r>
              <w:rPr>
                <w:sz w:val="22"/>
                <w:szCs w:val="22"/>
              </w:rPr>
              <w:t>311.9</w:t>
            </w:r>
          </w:p>
        </w:tc>
        <w:tc>
          <w:tcPr>
            <w:tcW w:w="993" w:type="dxa"/>
          </w:tcPr>
          <w:p w14:paraId="4711D109" w14:textId="77777777" w:rsidR="008C0CBA" w:rsidRPr="00DE3DCA" w:rsidRDefault="00070A1C" w:rsidP="00DE3DCA">
            <w:pPr>
              <w:spacing w:line="240" w:lineRule="auto"/>
              <w:rPr>
                <w:sz w:val="22"/>
                <w:szCs w:val="22"/>
              </w:rPr>
            </w:pPr>
            <w:r>
              <w:rPr>
                <w:sz w:val="22"/>
                <w:szCs w:val="22"/>
              </w:rPr>
              <w:t>143.7</w:t>
            </w:r>
          </w:p>
        </w:tc>
        <w:tc>
          <w:tcPr>
            <w:tcW w:w="992" w:type="dxa"/>
          </w:tcPr>
          <w:p w14:paraId="118D2129" w14:textId="77777777" w:rsidR="008C0CBA" w:rsidRPr="00DE3DCA" w:rsidRDefault="00070A1C" w:rsidP="00DE3DCA">
            <w:pPr>
              <w:spacing w:line="240" w:lineRule="auto"/>
              <w:rPr>
                <w:sz w:val="22"/>
                <w:szCs w:val="22"/>
              </w:rPr>
            </w:pPr>
            <w:r>
              <w:rPr>
                <w:sz w:val="22"/>
                <w:szCs w:val="22"/>
              </w:rPr>
              <w:t>57.0</w:t>
            </w:r>
          </w:p>
        </w:tc>
        <w:tc>
          <w:tcPr>
            <w:tcW w:w="992" w:type="dxa"/>
          </w:tcPr>
          <w:p w14:paraId="6E3DE208" w14:textId="77777777" w:rsidR="008C0CBA" w:rsidRPr="00DE3DCA" w:rsidRDefault="00070A1C" w:rsidP="00DE3DCA">
            <w:pPr>
              <w:spacing w:line="240" w:lineRule="auto"/>
              <w:rPr>
                <w:sz w:val="22"/>
                <w:szCs w:val="22"/>
              </w:rPr>
            </w:pPr>
            <w:r>
              <w:rPr>
                <w:sz w:val="22"/>
                <w:szCs w:val="22"/>
              </w:rPr>
              <w:t>282.8</w:t>
            </w:r>
          </w:p>
        </w:tc>
        <w:tc>
          <w:tcPr>
            <w:tcW w:w="941" w:type="dxa"/>
          </w:tcPr>
          <w:p w14:paraId="57153954" w14:textId="77777777" w:rsidR="008C0CBA" w:rsidRPr="00DE3DCA" w:rsidRDefault="00070A1C" w:rsidP="00DE3DCA">
            <w:pPr>
              <w:spacing w:line="240" w:lineRule="auto"/>
              <w:rPr>
                <w:sz w:val="22"/>
                <w:szCs w:val="22"/>
              </w:rPr>
            </w:pPr>
            <w:r>
              <w:rPr>
                <w:sz w:val="22"/>
                <w:szCs w:val="22"/>
              </w:rPr>
              <w:t>587.3</w:t>
            </w:r>
          </w:p>
        </w:tc>
      </w:tr>
      <w:tr w:rsidR="008C0CBA" w:rsidRPr="00DE3DCA" w14:paraId="097EAC56" w14:textId="77777777" w:rsidTr="00070A1C">
        <w:tc>
          <w:tcPr>
            <w:tcW w:w="4106" w:type="dxa"/>
          </w:tcPr>
          <w:p w14:paraId="4AC57098" w14:textId="77777777" w:rsidR="008C0CBA" w:rsidRPr="00DE3DCA" w:rsidRDefault="00070A1C" w:rsidP="00DE3DCA">
            <w:pPr>
              <w:spacing w:line="240" w:lineRule="auto"/>
              <w:rPr>
                <w:sz w:val="22"/>
                <w:szCs w:val="22"/>
              </w:rPr>
            </w:pPr>
            <w:r>
              <w:rPr>
                <w:sz w:val="22"/>
                <w:szCs w:val="22"/>
              </w:rPr>
              <w:t>Contracted Capacity, PCC (MWh/h)</w:t>
            </w:r>
          </w:p>
        </w:tc>
        <w:tc>
          <w:tcPr>
            <w:tcW w:w="992" w:type="dxa"/>
          </w:tcPr>
          <w:p w14:paraId="137D5183" w14:textId="77777777" w:rsidR="008C0CBA" w:rsidRPr="00DE3DCA" w:rsidRDefault="00070A1C" w:rsidP="00DE3DCA">
            <w:pPr>
              <w:spacing w:line="240" w:lineRule="auto"/>
              <w:rPr>
                <w:sz w:val="22"/>
                <w:szCs w:val="22"/>
              </w:rPr>
            </w:pPr>
            <w:r>
              <w:rPr>
                <w:sz w:val="22"/>
                <w:szCs w:val="22"/>
              </w:rPr>
              <w:t>331.6</w:t>
            </w:r>
          </w:p>
        </w:tc>
        <w:tc>
          <w:tcPr>
            <w:tcW w:w="993" w:type="dxa"/>
          </w:tcPr>
          <w:p w14:paraId="49ACBD58" w14:textId="77777777" w:rsidR="008C0CBA" w:rsidRPr="00DE3DCA" w:rsidRDefault="00070A1C" w:rsidP="00DE3DCA">
            <w:pPr>
              <w:spacing w:line="240" w:lineRule="auto"/>
              <w:rPr>
                <w:sz w:val="22"/>
                <w:szCs w:val="22"/>
              </w:rPr>
            </w:pPr>
            <w:r>
              <w:rPr>
                <w:sz w:val="22"/>
                <w:szCs w:val="22"/>
              </w:rPr>
              <w:t>148.7</w:t>
            </w:r>
          </w:p>
        </w:tc>
        <w:tc>
          <w:tcPr>
            <w:tcW w:w="992" w:type="dxa"/>
          </w:tcPr>
          <w:p w14:paraId="02E8C000" w14:textId="77777777" w:rsidR="008C0CBA" w:rsidRPr="00DE3DCA" w:rsidRDefault="00070A1C" w:rsidP="00DE3DCA">
            <w:pPr>
              <w:spacing w:line="240" w:lineRule="auto"/>
              <w:rPr>
                <w:sz w:val="22"/>
                <w:szCs w:val="22"/>
              </w:rPr>
            </w:pPr>
            <w:r>
              <w:rPr>
                <w:sz w:val="22"/>
                <w:szCs w:val="22"/>
              </w:rPr>
              <w:t>62.2</w:t>
            </w:r>
          </w:p>
        </w:tc>
        <w:tc>
          <w:tcPr>
            <w:tcW w:w="992" w:type="dxa"/>
          </w:tcPr>
          <w:p w14:paraId="361A6A1C" w14:textId="77777777" w:rsidR="008C0CBA" w:rsidRPr="00DE3DCA" w:rsidRDefault="00070A1C" w:rsidP="00DE3DCA">
            <w:pPr>
              <w:spacing w:line="240" w:lineRule="auto"/>
              <w:rPr>
                <w:sz w:val="22"/>
                <w:szCs w:val="22"/>
              </w:rPr>
            </w:pPr>
            <w:r>
              <w:rPr>
                <w:sz w:val="22"/>
                <w:szCs w:val="22"/>
              </w:rPr>
              <w:t>291.6</w:t>
            </w:r>
          </w:p>
        </w:tc>
        <w:tc>
          <w:tcPr>
            <w:tcW w:w="941" w:type="dxa"/>
          </w:tcPr>
          <w:p w14:paraId="2E659129" w14:textId="77777777" w:rsidR="008C0CBA" w:rsidRPr="00DE3DCA" w:rsidRDefault="00070A1C" w:rsidP="00DE3DCA">
            <w:pPr>
              <w:spacing w:line="240" w:lineRule="auto"/>
              <w:rPr>
                <w:sz w:val="22"/>
                <w:szCs w:val="22"/>
              </w:rPr>
            </w:pPr>
            <w:r>
              <w:rPr>
                <w:sz w:val="22"/>
                <w:szCs w:val="22"/>
              </w:rPr>
              <w:t>611.0</w:t>
            </w:r>
          </w:p>
        </w:tc>
      </w:tr>
      <w:tr w:rsidR="008C0CBA" w:rsidRPr="00DE3DCA" w14:paraId="7917301A" w14:textId="77777777" w:rsidTr="00070A1C">
        <w:tc>
          <w:tcPr>
            <w:tcW w:w="4106" w:type="dxa"/>
          </w:tcPr>
          <w:p w14:paraId="5BA61BEF" w14:textId="77777777" w:rsidR="008C0CBA" w:rsidRPr="00DE3DCA" w:rsidRDefault="00070A1C" w:rsidP="00DE3DCA">
            <w:pPr>
              <w:spacing w:line="240" w:lineRule="auto"/>
              <w:rPr>
                <w:sz w:val="22"/>
                <w:szCs w:val="22"/>
              </w:rPr>
            </w:pPr>
            <w:r>
              <w:rPr>
                <w:sz w:val="22"/>
                <w:szCs w:val="22"/>
              </w:rPr>
              <w:t>Plant Availability, PAF (%)</w:t>
            </w:r>
          </w:p>
        </w:tc>
        <w:tc>
          <w:tcPr>
            <w:tcW w:w="992" w:type="dxa"/>
          </w:tcPr>
          <w:p w14:paraId="0E8A7E9D" w14:textId="77777777" w:rsidR="008C0CBA" w:rsidRPr="00DE3DCA" w:rsidRDefault="00070A1C" w:rsidP="00DE3DCA">
            <w:pPr>
              <w:spacing w:line="240" w:lineRule="auto"/>
              <w:rPr>
                <w:sz w:val="22"/>
                <w:szCs w:val="22"/>
              </w:rPr>
            </w:pPr>
            <w:r>
              <w:rPr>
                <w:sz w:val="22"/>
                <w:szCs w:val="22"/>
              </w:rPr>
              <w:t>37.1</w:t>
            </w:r>
          </w:p>
        </w:tc>
        <w:tc>
          <w:tcPr>
            <w:tcW w:w="993" w:type="dxa"/>
          </w:tcPr>
          <w:p w14:paraId="7227F7E4" w14:textId="77777777" w:rsidR="008C0CBA" w:rsidRPr="00DE3DCA" w:rsidRDefault="00070A1C" w:rsidP="00DE3DCA">
            <w:pPr>
              <w:spacing w:line="240" w:lineRule="auto"/>
              <w:rPr>
                <w:sz w:val="22"/>
                <w:szCs w:val="22"/>
              </w:rPr>
            </w:pPr>
            <w:r>
              <w:rPr>
                <w:sz w:val="22"/>
                <w:szCs w:val="22"/>
              </w:rPr>
              <w:t>3.3</w:t>
            </w:r>
          </w:p>
        </w:tc>
        <w:tc>
          <w:tcPr>
            <w:tcW w:w="992" w:type="dxa"/>
          </w:tcPr>
          <w:p w14:paraId="025DE223" w14:textId="77777777" w:rsidR="008C0CBA" w:rsidRPr="00DE3DCA" w:rsidRDefault="00070A1C" w:rsidP="00DE3DCA">
            <w:pPr>
              <w:spacing w:line="240" w:lineRule="auto"/>
              <w:rPr>
                <w:sz w:val="22"/>
                <w:szCs w:val="22"/>
              </w:rPr>
            </w:pPr>
            <w:r>
              <w:rPr>
                <w:sz w:val="22"/>
                <w:szCs w:val="22"/>
              </w:rPr>
              <w:t>31.9</w:t>
            </w:r>
          </w:p>
        </w:tc>
        <w:tc>
          <w:tcPr>
            <w:tcW w:w="992" w:type="dxa"/>
          </w:tcPr>
          <w:p w14:paraId="66B91960" w14:textId="77777777" w:rsidR="008C0CBA" w:rsidRPr="00DE3DCA" w:rsidRDefault="00070A1C" w:rsidP="00DE3DCA">
            <w:pPr>
              <w:spacing w:line="240" w:lineRule="auto"/>
              <w:rPr>
                <w:sz w:val="22"/>
                <w:szCs w:val="22"/>
              </w:rPr>
            </w:pPr>
            <w:r>
              <w:rPr>
                <w:sz w:val="22"/>
                <w:szCs w:val="22"/>
              </w:rPr>
              <w:t>37.3</w:t>
            </w:r>
          </w:p>
        </w:tc>
        <w:tc>
          <w:tcPr>
            <w:tcW w:w="941" w:type="dxa"/>
          </w:tcPr>
          <w:p w14:paraId="660F6EB6" w14:textId="77777777" w:rsidR="008C0CBA" w:rsidRPr="00DE3DCA" w:rsidRDefault="00070A1C" w:rsidP="00DE3DCA">
            <w:pPr>
              <w:spacing w:line="240" w:lineRule="auto"/>
              <w:rPr>
                <w:sz w:val="22"/>
                <w:szCs w:val="22"/>
              </w:rPr>
            </w:pPr>
            <w:r>
              <w:rPr>
                <w:sz w:val="22"/>
                <w:szCs w:val="22"/>
              </w:rPr>
              <w:t>42.6</w:t>
            </w:r>
          </w:p>
        </w:tc>
      </w:tr>
      <w:tr w:rsidR="008C0CBA" w:rsidRPr="00DE3DCA" w14:paraId="437EF6B8" w14:textId="77777777" w:rsidTr="00070A1C">
        <w:tc>
          <w:tcPr>
            <w:tcW w:w="4106" w:type="dxa"/>
          </w:tcPr>
          <w:p w14:paraId="099D5C8B" w14:textId="77777777" w:rsidR="008C0CBA" w:rsidRPr="00DE3DCA" w:rsidRDefault="00070A1C" w:rsidP="00DE3DCA">
            <w:pPr>
              <w:spacing w:line="240" w:lineRule="auto"/>
              <w:rPr>
                <w:sz w:val="22"/>
                <w:szCs w:val="22"/>
              </w:rPr>
            </w:pPr>
            <w:r>
              <w:rPr>
                <w:sz w:val="22"/>
                <w:szCs w:val="22"/>
              </w:rPr>
              <w:t>Offtake ratio, Q/PCC</w:t>
            </w:r>
          </w:p>
        </w:tc>
        <w:tc>
          <w:tcPr>
            <w:tcW w:w="992" w:type="dxa"/>
          </w:tcPr>
          <w:p w14:paraId="74F40727" w14:textId="77777777" w:rsidR="008C0CBA" w:rsidRPr="00DE3DCA" w:rsidRDefault="00070A1C" w:rsidP="00DE3DCA">
            <w:pPr>
              <w:spacing w:line="240" w:lineRule="auto"/>
              <w:rPr>
                <w:sz w:val="22"/>
                <w:szCs w:val="22"/>
              </w:rPr>
            </w:pPr>
            <w:r>
              <w:rPr>
                <w:sz w:val="22"/>
                <w:szCs w:val="22"/>
              </w:rPr>
              <w:t>0.93</w:t>
            </w:r>
          </w:p>
        </w:tc>
        <w:tc>
          <w:tcPr>
            <w:tcW w:w="993" w:type="dxa"/>
          </w:tcPr>
          <w:p w14:paraId="50C34805" w14:textId="77777777" w:rsidR="008C0CBA" w:rsidRPr="00DE3DCA" w:rsidRDefault="00070A1C" w:rsidP="00DE3DCA">
            <w:pPr>
              <w:spacing w:line="240" w:lineRule="auto"/>
              <w:rPr>
                <w:sz w:val="22"/>
                <w:szCs w:val="22"/>
              </w:rPr>
            </w:pPr>
            <w:r>
              <w:rPr>
                <w:sz w:val="22"/>
                <w:szCs w:val="22"/>
              </w:rPr>
              <w:t>0.07</w:t>
            </w:r>
          </w:p>
        </w:tc>
        <w:tc>
          <w:tcPr>
            <w:tcW w:w="992" w:type="dxa"/>
          </w:tcPr>
          <w:p w14:paraId="6EAED489" w14:textId="77777777" w:rsidR="008C0CBA" w:rsidRPr="00DE3DCA" w:rsidRDefault="00070A1C" w:rsidP="00DE3DCA">
            <w:pPr>
              <w:spacing w:line="240" w:lineRule="auto"/>
              <w:rPr>
                <w:sz w:val="22"/>
                <w:szCs w:val="22"/>
              </w:rPr>
            </w:pPr>
            <w:r>
              <w:rPr>
                <w:sz w:val="22"/>
                <w:szCs w:val="22"/>
              </w:rPr>
              <w:t>0.70</w:t>
            </w:r>
          </w:p>
        </w:tc>
        <w:tc>
          <w:tcPr>
            <w:tcW w:w="992" w:type="dxa"/>
          </w:tcPr>
          <w:p w14:paraId="441C7B1D" w14:textId="77777777" w:rsidR="008C0CBA" w:rsidRPr="00DE3DCA" w:rsidRDefault="00070A1C" w:rsidP="00DE3DCA">
            <w:pPr>
              <w:spacing w:line="240" w:lineRule="auto"/>
              <w:rPr>
                <w:sz w:val="22"/>
                <w:szCs w:val="22"/>
              </w:rPr>
            </w:pPr>
            <w:r>
              <w:rPr>
                <w:sz w:val="22"/>
                <w:szCs w:val="22"/>
              </w:rPr>
              <w:t>0.94</w:t>
            </w:r>
          </w:p>
        </w:tc>
        <w:tc>
          <w:tcPr>
            <w:tcW w:w="941" w:type="dxa"/>
          </w:tcPr>
          <w:p w14:paraId="13ABDE61" w14:textId="77777777" w:rsidR="008C0CBA" w:rsidRPr="00DE3DCA" w:rsidRDefault="00070A1C" w:rsidP="00DE3DCA">
            <w:pPr>
              <w:spacing w:line="240" w:lineRule="auto"/>
              <w:rPr>
                <w:sz w:val="22"/>
                <w:szCs w:val="22"/>
              </w:rPr>
            </w:pPr>
            <w:r>
              <w:rPr>
                <w:sz w:val="22"/>
                <w:szCs w:val="22"/>
              </w:rPr>
              <w:t>1.17</w:t>
            </w:r>
          </w:p>
        </w:tc>
      </w:tr>
    </w:tbl>
    <w:p w14:paraId="78CBD59F" w14:textId="77777777" w:rsidR="008C0CBA" w:rsidRDefault="00070A1C" w:rsidP="004B37CE">
      <w:r>
        <w:t>n = 154 DISCO-quarters (11 DISCOs × 14 quarters, 2022Q4–2026Q1).</w:t>
      </w:r>
    </w:p>
    <w:p w14:paraId="3ECF1A5D" w14:textId="77777777" w:rsidR="00070A1C" w:rsidRDefault="00070A1C" w:rsidP="004B37CE">
      <w:r>
        <w:t>The offtake ratio, observed draw as a fraction of contracted capacity, is worth isolating, because it is the empirical signature that motivates the entire approach. If DISCOs always took their full contracted capacity, the ratio would sit at or above one throughout, the market would be uniformly supply-constrained, and there would be no demand variation to identify. If they always fell short, it would be uniformly demand-constrained. Neither holds. The ratio averages 0.93 but ranges from 0.70 to 1.17: it exceeds one in six per cent of DISCO-quarters (offtake above contracted capacity, a real and verifiable occurrence), and falls well below it in others. Fifty-six per cent of observations sit below 0.95, where demand may bind; twenty-two per cent sit above 0.98, where supply clearly does. Nine of the eleven DISCOs cross this threshold in both directions at least once over the panel. The binding constraint genuinely switches (across DISCOs and within them over time), which is the precondition a disequilibrium model needs, and cannot be assumed to hold without checking.</w:t>
      </w:r>
    </w:p>
    <w:p w14:paraId="2A334751" w14:textId="77777777" w:rsidR="008B01B8" w:rsidRPr="00AA11A5" w:rsidRDefault="008B01B8" w:rsidP="004B37CE">
      <w:r>
        <w:rPr>
          <w:noProof/>
        </w:rPr>
        <w:lastRenderedPageBreak/>
        <w:drawing>
          <wp:inline distT="0" distB="0" distL="0" distR="0" wp14:anchorId="415CACFA" wp14:editId="31A2035B">
            <wp:extent cx="5731510" cy="3526790"/>
            <wp:effectExtent l="0" t="0" r="0" b="3810"/>
            <wp:docPr id="1012585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585441" name="Picture 1012585441"/>
                    <pic:cNvPicPr/>
                  </pic:nvPicPr>
                  <pic:blipFill>
                    <a:blip r:embed="rId9">
                      <a:extLst>
                        <a:ext uri="{28A0092B-C50C-407E-A947-70E740481C1C}">
                          <a14:useLocalDpi xmlns:a14="http://schemas.microsoft.com/office/drawing/2010/main" val="0"/>
                        </a:ext>
                      </a:extLst>
                    </a:blip>
                    <a:stretch>
                      <a:fillRect/>
                    </a:stretch>
                  </pic:blipFill>
                  <pic:spPr>
                    <a:xfrm>
                      <a:off x="0" y="0"/>
                      <a:ext cx="5731510" cy="3526790"/>
                    </a:xfrm>
                    <a:prstGeom prst="rect">
                      <a:avLst/>
                    </a:prstGeom>
                  </pic:spPr>
                </pic:pic>
              </a:graphicData>
            </a:graphic>
          </wp:inline>
        </w:drawing>
      </w:r>
    </w:p>
    <w:p w14:paraId="0C43A6A0" w14:textId="77777777" w:rsidR="004163BA" w:rsidRDefault="00000000">
      <w:pPr>
        <w:spacing w:after="200"/>
        <w:jc w:val="center"/>
      </w:pPr>
      <w:r>
        <w:rPr>
          <w:i/>
          <w:sz w:val="18"/>
          <w:szCs w:val="18"/>
        </w:rPr>
        <w:t>Figure 1. Distribution of the offtake ratio (Q/PCC) across the 154 DISCO-quarters. The dashed line marks the point at which offtake equals contracted capacity.</w:t>
      </w:r>
    </w:p>
    <w:p w14:paraId="1A5C0472" w14:textId="77777777" w:rsidR="00275E77" w:rsidRDefault="00275E77" w:rsidP="004B37CE">
      <w:pPr>
        <w:pStyle w:val="Heading2"/>
        <w:numPr>
          <w:ilvl w:val="0"/>
          <w:numId w:val="0"/>
        </w:numPr>
      </w:pPr>
      <w:bookmarkStart w:id="7" w:name="_Toc240994333"/>
    </w:p>
    <w:p w14:paraId="5723455B" w14:textId="77777777" w:rsidR="001F426E" w:rsidRDefault="001F426E" w:rsidP="001F426E"/>
    <w:p w14:paraId="7F2899E2" w14:textId="77777777" w:rsidR="001F426E" w:rsidRDefault="001F426E" w:rsidP="001F426E"/>
    <w:p w14:paraId="53A46D89" w14:textId="77777777" w:rsidR="001F426E" w:rsidRDefault="001F426E" w:rsidP="001F426E"/>
    <w:p w14:paraId="660AF31D" w14:textId="77777777" w:rsidR="001F426E" w:rsidRDefault="001F426E" w:rsidP="001F426E"/>
    <w:p w14:paraId="5B88FAD2" w14:textId="77777777" w:rsidR="0011540A" w:rsidRDefault="0011540A" w:rsidP="001F426E"/>
    <w:p w14:paraId="1724AD3E" w14:textId="77777777" w:rsidR="0011540A" w:rsidRDefault="0011540A" w:rsidP="001F426E"/>
    <w:p w14:paraId="4D1D9147" w14:textId="77777777" w:rsidR="001F426E" w:rsidRDefault="001F426E" w:rsidP="001F426E"/>
    <w:p w14:paraId="025B204C" w14:textId="77777777" w:rsidR="00D7464B" w:rsidRPr="00AA11A5" w:rsidRDefault="00823839" w:rsidP="004B37CE">
      <w:pPr>
        <w:pStyle w:val="Heading2"/>
        <w:numPr>
          <w:ilvl w:val="0"/>
          <w:numId w:val="0"/>
        </w:numPr>
      </w:pPr>
      <w:r>
        <w:lastRenderedPageBreak/>
        <w:t xml:space="preserve">5.0 </w:t>
      </w:r>
      <w:bookmarkEnd w:id="7"/>
      <w:r>
        <w:t>Model</w:t>
      </w:r>
    </w:p>
    <w:p w14:paraId="7CF2AC5E" w14:textId="77777777" w:rsidR="00823839" w:rsidRPr="00AA11A5" w:rsidRDefault="00823839" w:rsidP="00823839">
      <w:pPr>
        <w:pStyle w:val="Heading2"/>
        <w:numPr>
          <w:ilvl w:val="0"/>
          <w:numId w:val="0"/>
        </w:numPr>
      </w:pPr>
      <w:r>
        <w:t>5.1 Model Specification</w:t>
      </w:r>
    </w:p>
    <w:p w14:paraId="04CB8B2A" w14:textId="77777777" w:rsidR="00823839" w:rsidRDefault="00823839" w:rsidP="004B37CE">
      <w:r>
        <w:t>Let i index the eleven DISCOs and t index quarters. Demand and supply are specified as separate linear equations:</w:t>
      </w:r>
    </w:p>
    <w:tbl>
      <w:tblPr>
        <w:tblStyle w:val="TableGrid"/>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76"/>
        <w:gridCol w:w="491"/>
      </w:tblGrid>
      <w:tr w:rsidR="00823839" w:rsidRPr="00DA061C" w14:paraId="527E5053" w14:textId="77777777" w:rsidTr="00DA061C">
        <w:tc>
          <w:tcPr>
            <w:tcW w:w="8642" w:type="dxa"/>
          </w:tcPr>
          <w:p w14:paraId="0FA67BCA" w14:textId="77777777" w:rsidR="00823839" w:rsidRPr="00DA061C" w:rsidRDefault="00000000" w:rsidP="004B37CE">
            <w:pPr>
              <w:rPr>
                <w:sz w:val="22"/>
                <w:szCs w:val="22"/>
              </w:rPr>
            </w:pPr>
            <m:oMath>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it</m:t>
                  </m:r>
                </m:sub>
              </m:sSub>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β</m:t>
                  </m:r>
                </m:e>
                <m:sub>
                  <m:r>
                    <w:rPr>
                      <w:rFonts w:ascii="Cambria Math" w:hAnsi="Cambria Math"/>
                      <w:sz w:val="22"/>
                      <w:szCs w:val="22"/>
                    </w:rPr>
                    <m:t>0</m:t>
                  </m:r>
                </m:sub>
              </m:sSub>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β</m:t>
                  </m:r>
                </m:e>
                <m:sub>
                  <m:r>
                    <w:rPr>
                      <w:rFonts w:ascii="Cambria Math" w:hAnsi="Cambria Math"/>
                      <w:sz w:val="22"/>
                      <w:szCs w:val="22"/>
                    </w:rPr>
                    <m:t>1</m:t>
                  </m:r>
                </m:sub>
              </m:sSub>
              <m:func>
                <m:funcPr>
                  <m:ctrlPr>
                    <w:rPr>
                      <w:rFonts w:ascii="Cambria Math" w:hAnsi="Cambria Math"/>
                      <w:i/>
                      <w:sz w:val="22"/>
                      <w:szCs w:val="22"/>
                    </w:rPr>
                  </m:ctrlPr>
                </m:funcPr>
                <m:fName>
                  <m:r>
                    <m:rPr>
                      <m:sty m:val="p"/>
                    </m:rPr>
                    <w:rPr>
                      <w:rFonts w:ascii="Cambria Math" w:hAnsi="Cambria Math"/>
                      <w:sz w:val="22"/>
                      <w:szCs w:val="22"/>
                    </w:rPr>
                    <m:t>ln</m:t>
                  </m:r>
                </m:fName>
                <m:e>
                  <m:d>
                    <m:dPr>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IGR</m:t>
                          </m:r>
                        </m:e>
                        <m:sub>
                          <m:r>
                            <w:rPr>
                              <w:rFonts w:ascii="Cambria Math" w:hAnsi="Cambria Math"/>
                              <w:sz w:val="22"/>
                              <w:szCs w:val="22"/>
                            </w:rPr>
                            <m:t>i</m:t>
                          </m:r>
                        </m:sub>
                      </m:sSub>
                    </m:e>
                  </m:d>
                </m:e>
              </m:func>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β</m:t>
                  </m:r>
                </m:e>
                <m:sub>
                  <m:r>
                    <w:rPr>
                      <w:rFonts w:ascii="Cambria Math" w:hAnsi="Cambria Math"/>
                      <w:sz w:val="22"/>
                      <w:szCs w:val="22"/>
                    </w:rPr>
                    <m:t>2</m:t>
                  </m:r>
                </m:sub>
              </m:sSub>
              <m:d>
                <m:dPr>
                  <m:begChr m:val="["/>
                  <m:endChr m:val="]"/>
                  <m:ctrlPr>
                    <w:rPr>
                      <w:rFonts w:ascii="Cambria Math" w:hAnsi="Cambria Math"/>
                      <w:i/>
                      <w:sz w:val="22"/>
                      <w:szCs w:val="22"/>
                    </w:rPr>
                  </m:ctrlPr>
                </m:dPr>
                <m:e>
                  <m:func>
                    <m:funcPr>
                      <m:ctrlPr>
                        <w:rPr>
                          <w:rFonts w:ascii="Cambria Math" w:hAnsi="Cambria Math"/>
                          <w:i/>
                          <w:sz w:val="22"/>
                          <w:szCs w:val="22"/>
                        </w:rPr>
                      </m:ctrlPr>
                    </m:funcPr>
                    <m:fName>
                      <m:r>
                        <m:rPr>
                          <m:sty m:val="p"/>
                        </m:rPr>
                        <w:rPr>
                          <w:rFonts w:ascii="Cambria Math" w:hAnsi="Cambria Math"/>
                          <w:sz w:val="22"/>
                          <w:szCs w:val="22"/>
                        </w:rPr>
                        <m:t>ln</m:t>
                      </m:r>
                    </m:fName>
                    <m:e>
                      <m:d>
                        <m:dPr>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IGR</m:t>
                              </m:r>
                            </m:e>
                            <m:sub>
                              <m:r>
                                <w:rPr>
                                  <w:rFonts w:ascii="Cambria Math" w:hAnsi="Cambria Math"/>
                                  <w:sz w:val="22"/>
                                  <w:szCs w:val="22"/>
                                </w:rPr>
                                <m:t>i</m:t>
                              </m:r>
                            </m:sub>
                          </m:sSub>
                        </m:e>
                      </m:d>
                    </m:e>
                  </m:func>
                  <m:r>
                    <w:rPr>
                      <w:rFonts w:ascii="Cambria Math" w:hAnsi="Cambria Math"/>
                      <w:sz w:val="22"/>
                      <w:szCs w:val="22"/>
                    </w:rPr>
                    <m:t xml:space="preserve"> X</m:t>
                  </m:r>
                  <m:r>
                    <w:rPr>
                      <w:rFonts w:ascii="Cambria Math" w:eastAsiaTheme="minorEastAsia" w:hAnsi="Cambria Math"/>
                      <w:sz w:val="22"/>
                      <w:szCs w:val="22"/>
                    </w:rPr>
                    <m:t xml:space="preserve"> </m:t>
                  </m:r>
                  <m:sSub>
                    <m:sSubPr>
                      <m:ctrlPr>
                        <w:rPr>
                          <w:rFonts w:ascii="Cambria Math" w:eastAsiaTheme="minorEastAsia" w:hAnsi="Cambria Math"/>
                          <w:i/>
                          <w:sz w:val="22"/>
                          <w:szCs w:val="22"/>
                        </w:rPr>
                      </m:ctrlPr>
                    </m:sSubPr>
                    <m:e>
                      <m:r>
                        <w:rPr>
                          <w:rFonts w:ascii="Cambria Math" w:eastAsiaTheme="minorEastAsia" w:hAnsi="Cambria Math"/>
                          <w:sz w:val="22"/>
                          <w:szCs w:val="22"/>
                        </w:rPr>
                        <m:t>Lagos</m:t>
                      </m:r>
                    </m:e>
                    <m:sub>
                      <m:r>
                        <w:rPr>
                          <w:rFonts w:ascii="Cambria Math" w:eastAsiaTheme="minorEastAsia" w:hAnsi="Cambria Math"/>
                          <w:sz w:val="22"/>
                          <w:szCs w:val="22"/>
                        </w:rPr>
                        <m:t>i</m:t>
                      </m:r>
                    </m:sub>
                  </m:sSub>
                  <m:ctrlPr>
                    <w:rPr>
                      <w:rFonts w:ascii="Cambria Math" w:eastAsiaTheme="minorEastAsia" w:hAnsi="Cambria Math"/>
                      <w:i/>
                      <w:sz w:val="22"/>
                      <w:szCs w:val="22"/>
                    </w:rPr>
                  </m:ctrlPr>
                </m:e>
              </m:d>
              <m:r>
                <w:rPr>
                  <w:rFonts w:ascii="Cambria Math" w:eastAsiaTheme="minorEastAsia"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β</m:t>
                  </m:r>
                </m:e>
                <m:sub>
                  <m:r>
                    <w:rPr>
                      <w:rFonts w:ascii="Cambria Math" w:hAnsi="Cambria Math"/>
                      <w:sz w:val="22"/>
                      <w:szCs w:val="22"/>
                    </w:rPr>
                    <m:t>3</m:t>
                  </m:r>
                </m:sub>
              </m:sSub>
              <m:func>
                <m:funcPr>
                  <m:ctrlPr>
                    <w:rPr>
                      <w:rFonts w:ascii="Cambria Math" w:hAnsi="Cambria Math"/>
                      <w:i/>
                      <w:sz w:val="22"/>
                      <w:szCs w:val="22"/>
                    </w:rPr>
                  </m:ctrlPr>
                </m:funcPr>
                <m:fName>
                  <m:r>
                    <m:rPr>
                      <m:sty m:val="p"/>
                    </m:rPr>
                    <w:rPr>
                      <w:rFonts w:ascii="Cambria Math" w:hAnsi="Cambria Math"/>
                      <w:sz w:val="22"/>
                      <w:szCs w:val="22"/>
                    </w:rPr>
                    <m:t>cos</m:t>
                  </m:r>
                </m:fName>
                <m:e>
                  <m:d>
                    <m:dPr>
                      <m:ctrlPr>
                        <w:rPr>
                          <w:rFonts w:ascii="Cambria Math" w:hAnsi="Cambria Math"/>
                          <w:i/>
                          <w:sz w:val="22"/>
                          <w:szCs w:val="22"/>
                        </w:rPr>
                      </m:ctrlPr>
                    </m:dPr>
                    <m:e>
                      <m:f>
                        <m:fPr>
                          <m:ctrlPr>
                            <w:rPr>
                              <w:rFonts w:ascii="Cambria Math" w:hAnsi="Cambria Math"/>
                              <w:i/>
                              <w:sz w:val="22"/>
                              <w:szCs w:val="22"/>
                            </w:rPr>
                          </m:ctrlPr>
                        </m:fPr>
                        <m:num>
                          <m:r>
                            <w:rPr>
                              <w:rFonts w:ascii="Cambria Math" w:hAnsi="Cambria Math"/>
                              <w:sz w:val="22"/>
                              <w:szCs w:val="22"/>
                            </w:rPr>
                            <m:t>2π</m:t>
                          </m:r>
                          <m:sSub>
                            <m:sSubPr>
                              <m:ctrlPr>
                                <w:rPr>
                                  <w:rFonts w:ascii="Cambria Math" w:hAnsi="Cambria Math"/>
                                  <w:i/>
                                  <w:sz w:val="22"/>
                                  <w:szCs w:val="22"/>
                                </w:rPr>
                              </m:ctrlPr>
                            </m:sSubPr>
                            <m:e>
                              <m:r>
                                <w:rPr>
                                  <w:rFonts w:ascii="Cambria Math" w:hAnsi="Cambria Math"/>
                                  <w:sz w:val="22"/>
                                  <w:szCs w:val="22"/>
                                </w:rPr>
                                <m:t>q</m:t>
                              </m:r>
                            </m:e>
                            <m:sub>
                              <m:r>
                                <w:rPr>
                                  <w:rFonts w:ascii="Cambria Math" w:hAnsi="Cambria Math"/>
                                  <w:sz w:val="22"/>
                                  <w:szCs w:val="22"/>
                                </w:rPr>
                                <m:t>t</m:t>
                              </m:r>
                            </m:sub>
                          </m:sSub>
                        </m:num>
                        <m:den>
                          <m:r>
                            <w:rPr>
                              <w:rFonts w:ascii="Cambria Math" w:hAnsi="Cambria Math"/>
                              <w:sz w:val="22"/>
                              <w:szCs w:val="22"/>
                            </w:rPr>
                            <m:t>4</m:t>
                          </m:r>
                        </m:den>
                      </m:f>
                    </m:e>
                  </m:d>
                </m:e>
              </m:func>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β</m:t>
                  </m:r>
                </m:e>
                <m:sub>
                  <m:r>
                    <w:rPr>
                      <w:rFonts w:ascii="Cambria Math" w:hAnsi="Cambria Math"/>
                      <w:sz w:val="22"/>
                      <w:szCs w:val="22"/>
                    </w:rPr>
                    <m:t>4</m:t>
                  </m:r>
                </m:sub>
              </m:sSub>
            </m:oMath>
            <w:r>
              <w:rPr>
                <w:rFonts w:eastAsiaTheme="minorEastAsia"/>
                <w:sz w:val="22"/>
                <w:szCs w:val="22"/>
              </w:rPr>
              <w:t>sin</w:t>
            </w:r>
            <m:oMath>
              <m:d>
                <m:dPr>
                  <m:ctrlPr>
                    <w:rPr>
                      <w:rFonts w:ascii="Cambria Math" w:hAnsi="Cambria Math"/>
                      <w:i/>
                      <w:sz w:val="22"/>
                      <w:szCs w:val="22"/>
                    </w:rPr>
                  </m:ctrlPr>
                </m:dPr>
                <m:e>
                  <m:f>
                    <m:fPr>
                      <m:ctrlPr>
                        <w:rPr>
                          <w:rFonts w:ascii="Cambria Math" w:hAnsi="Cambria Math"/>
                          <w:i/>
                          <w:sz w:val="22"/>
                          <w:szCs w:val="22"/>
                        </w:rPr>
                      </m:ctrlPr>
                    </m:fPr>
                    <m:num>
                      <m:r>
                        <w:rPr>
                          <w:rFonts w:ascii="Cambria Math" w:hAnsi="Cambria Math"/>
                          <w:sz w:val="22"/>
                          <w:szCs w:val="22"/>
                        </w:rPr>
                        <m:t>2π</m:t>
                      </m:r>
                      <m:sSub>
                        <m:sSubPr>
                          <m:ctrlPr>
                            <w:rPr>
                              <w:rFonts w:ascii="Cambria Math" w:hAnsi="Cambria Math"/>
                              <w:i/>
                              <w:sz w:val="22"/>
                              <w:szCs w:val="22"/>
                            </w:rPr>
                          </m:ctrlPr>
                        </m:sSubPr>
                        <m:e>
                          <m:r>
                            <w:rPr>
                              <w:rFonts w:ascii="Cambria Math" w:hAnsi="Cambria Math"/>
                              <w:sz w:val="22"/>
                              <w:szCs w:val="22"/>
                            </w:rPr>
                            <m:t>q</m:t>
                          </m:r>
                        </m:e>
                        <m:sub>
                          <m:r>
                            <w:rPr>
                              <w:rFonts w:ascii="Cambria Math" w:hAnsi="Cambria Math"/>
                              <w:sz w:val="22"/>
                              <w:szCs w:val="22"/>
                            </w:rPr>
                            <m:t>t</m:t>
                          </m:r>
                        </m:sub>
                      </m:sSub>
                    </m:num>
                    <m:den>
                      <m:r>
                        <w:rPr>
                          <w:rFonts w:ascii="Cambria Math" w:hAnsi="Cambria Math"/>
                          <w:sz w:val="22"/>
                          <w:szCs w:val="22"/>
                        </w:rPr>
                        <m:t>4</m:t>
                      </m:r>
                    </m:den>
                  </m:f>
                </m:e>
              </m:d>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u</m:t>
                  </m:r>
                </m:e>
                <m:sub>
                  <m:r>
                    <w:rPr>
                      <w:rFonts w:ascii="Cambria Math" w:hAnsi="Cambria Math"/>
                      <w:sz w:val="22"/>
                      <w:szCs w:val="22"/>
                    </w:rPr>
                    <m:t>1,it</m:t>
                  </m:r>
                </m:sub>
              </m:sSub>
            </m:oMath>
          </w:p>
        </w:tc>
        <w:tc>
          <w:tcPr>
            <w:tcW w:w="425" w:type="dxa"/>
          </w:tcPr>
          <w:p w14:paraId="00E7AA56" w14:textId="77777777" w:rsidR="00823839" w:rsidRPr="00DA061C" w:rsidRDefault="00823839" w:rsidP="00DA061C">
            <w:pPr>
              <w:jc w:val="right"/>
              <w:rPr>
                <w:sz w:val="22"/>
                <w:szCs w:val="22"/>
              </w:rPr>
            </w:pPr>
            <w:r>
              <w:rPr>
                <w:sz w:val="22"/>
                <w:szCs w:val="22"/>
              </w:rPr>
              <w:t>1.1</w:t>
            </w:r>
          </w:p>
        </w:tc>
      </w:tr>
    </w:tbl>
    <w:p w14:paraId="52DC6B00" w14:textId="77777777" w:rsidR="00823839" w:rsidRDefault="00823839" w:rsidP="004B37CE"/>
    <w:tbl>
      <w:tblPr>
        <w:tblStyle w:val="TableGrid"/>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76"/>
        <w:gridCol w:w="491"/>
      </w:tblGrid>
      <w:tr w:rsidR="00DA061C" w:rsidRPr="00DA061C" w14:paraId="03E3D4F0" w14:textId="77777777" w:rsidTr="00DA061C">
        <w:tc>
          <w:tcPr>
            <w:tcW w:w="8642" w:type="dxa"/>
          </w:tcPr>
          <w:p w14:paraId="6D01C50D" w14:textId="77777777" w:rsidR="00DA061C" w:rsidRPr="00DA061C" w:rsidRDefault="00000000" w:rsidP="00A670A1">
            <w:pPr>
              <w:rPr>
                <w:sz w:val="22"/>
                <w:szCs w:val="22"/>
              </w:rPr>
            </w:pPr>
            <m:oMath>
              <m:sSub>
                <m:sSubPr>
                  <m:ctrlPr>
                    <w:rPr>
                      <w:rFonts w:ascii="Cambria Math" w:hAnsi="Cambria Math"/>
                      <w:i/>
                      <w:sz w:val="22"/>
                      <w:szCs w:val="22"/>
                    </w:rPr>
                  </m:ctrlPr>
                </m:sSubPr>
                <m:e>
                  <m:r>
                    <w:rPr>
                      <w:rFonts w:ascii="Cambria Math" w:hAnsi="Cambria Math"/>
                      <w:sz w:val="22"/>
                      <w:szCs w:val="22"/>
                    </w:rPr>
                    <m:t>S</m:t>
                  </m:r>
                </m:e>
                <m:sub>
                  <m:r>
                    <w:rPr>
                      <w:rFonts w:ascii="Cambria Math" w:hAnsi="Cambria Math"/>
                      <w:sz w:val="22"/>
                      <w:szCs w:val="22"/>
                    </w:rPr>
                    <m:t>it</m:t>
                  </m:r>
                </m:sub>
              </m:sSub>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γ</m:t>
                  </m:r>
                </m:e>
                <m:sub>
                  <m:r>
                    <w:rPr>
                      <w:rFonts w:ascii="Cambria Math" w:hAnsi="Cambria Math"/>
                      <w:sz w:val="22"/>
                      <w:szCs w:val="22"/>
                    </w:rPr>
                    <m:t>0</m:t>
                  </m:r>
                </m:sub>
              </m:sSub>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γ</m:t>
                  </m:r>
                </m:e>
                <m:sub>
                  <m:r>
                    <w:rPr>
                      <w:rFonts w:ascii="Cambria Math" w:hAnsi="Cambria Math"/>
                      <w:sz w:val="22"/>
                      <w:szCs w:val="22"/>
                    </w:rPr>
                    <m:t>1</m:t>
                  </m:r>
                </m:sub>
              </m:sSub>
              <m:sSub>
                <m:sSubPr>
                  <m:ctrlPr>
                    <w:rPr>
                      <w:rFonts w:ascii="Cambria Math" w:hAnsi="Cambria Math"/>
                      <w:i/>
                      <w:sz w:val="22"/>
                      <w:szCs w:val="22"/>
                    </w:rPr>
                  </m:ctrlPr>
                </m:sSubPr>
                <m:e>
                  <m:r>
                    <w:rPr>
                      <w:rFonts w:ascii="Cambria Math" w:hAnsi="Cambria Math"/>
                      <w:sz w:val="22"/>
                      <w:szCs w:val="22"/>
                    </w:rPr>
                    <m:t>PCC</m:t>
                  </m:r>
                </m:e>
                <m:sub>
                  <m:r>
                    <w:rPr>
                      <w:rFonts w:ascii="Cambria Math" w:hAnsi="Cambria Math"/>
                      <w:sz w:val="22"/>
                      <w:szCs w:val="22"/>
                    </w:rPr>
                    <m:t>it</m:t>
                  </m:r>
                </m:sub>
              </m:sSub>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γ</m:t>
                  </m:r>
                </m:e>
                <m:sub>
                  <m:r>
                    <w:rPr>
                      <w:rFonts w:ascii="Cambria Math" w:hAnsi="Cambria Math"/>
                      <w:sz w:val="22"/>
                      <w:szCs w:val="22"/>
                    </w:rPr>
                    <m:t>2</m:t>
                  </m:r>
                </m:sub>
              </m:sSub>
              <m:sSub>
                <m:sSubPr>
                  <m:ctrlPr>
                    <w:rPr>
                      <w:rFonts w:ascii="Cambria Math" w:hAnsi="Cambria Math"/>
                      <w:i/>
                      <w:sz w:val="22"/>
                      <w:szCs w:val="22"/>
                    </w:rPr>
                  </m:ctrlPr>
                </m:sSubPr>
                <m:e>
                  <m:r>
                    <w:rPr>
                      <w:rFonts w:ascii="Cambria Math" w:hAnsi="Cambria Math"/>
                      <w:sz w:val="22"/>
                      <w:szCs w:val="22"/>
                    </w:rPr>
                    <m:t>PAF</m:t>
                  </m:r>
                </m:e>
                <m:sub>
                  <m:r>
                    <w:rPr>
                      <w:rFonts w:ascii="Cambria Math" w:hAnsi="Cambria Math"/>
                      <w:sz w:val="22"/>
                      <w:szCs w:val="22"/>
                    </w:rPr>
                    <m:t>t</m:t>
                  </m:r>
                </m:sub>
              </m:sSub>
              <m:r>
                <w:rPr>
                  <w:rFonts w:ascii="Cambria Math" w:eastAsiaTheme="minorEastAsia"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γ</m:t>
                  </m:r>
                </m:e>
                <m:sub>
                  <m:r>
                    <w:rPr>
                      <w:rFonts w:ascii="Cambria Math" w:hAnsi="Cambria Math"/>
                      <w:sz w:val="22"/>
                      <w:szCs w:val="22"/>
                    </w:rPr>
                    <m:t>3</m:t>
                  </m:r>
                </m:sub>
              </m:sSub>
              <m:func>
                <m:funcPr>
                  <m:ctrlPr>
                    <w:rPr>
                      <w:rFonts w:ascii="Cambria Math" w:hAnsi="Cambria Math"/>
                      <w:i/>
                      <w:sz w:val="22"/>
                      <w:szCs w:val="22"/>
                    </w:rPr>
                  </m:ctrlPr>
                </m:funcPr>
                <m:fName>
                  <m:r>
                    <m:rPr>
                      <m:sty m:val="p"/>
                    </m:rPr>
                    <w:rPr>
                      <w:rFonts w:ascii="Cambria Math" w:hAnsi="Cambria Math"/>
                      <w:sz w:val="22"/>
                      <w:szCs w:val="22"/>
                    </w:rPr>
                    <m:t>cos</m:t>
                  </m:r>
                </m:fName>
                <m:e>
                  <m:d>
                    <m:dPr>
                      <m:ctrlPr>
                        <w:rPr>
                          <w:rFonts w:ascii="Cambria Math" w:hAnsi="Cambria Math"/>
                          <w:i/>
                          <w:sz w:val="22"/>
                          <w:szCs w:val="22"/>
                        </w:rPr>
                      </m:ctrlPr>
                    </m:dPr>
                    <m:e>
                      <m:f>
                        <m:fPr>
                          <m:ctrlPr>
                            <w:rPr>
                              <w:rFonts w:ascii="Cambria Math" w:hAnsi="Cambria Math"/>
                              <w:i/>
                              <w:sz w:val="22"/>
                              <w:szCs w:val="22"/>
                            </w:rPr>
                          </m:ctrlPr>
                        </m:fPr>
                        <m:num>
                          <m:r>
                            <w:rPr>
                              <w:rFonts w:ascii="Cambria Math" w:hAnsi="Cambria Math"/>
                              <w:sz w:val="22"/>
                              <w:szCs w:val="22"/>
                            </w:rPr>
                            <m:t>2π</m:t>
                          </m:r>
                          <m:sSub>
                            <m:sSubPr>
                              <m:ctrlPr>
                                <w:rPr>
                                  <w:rFonts w:ascii="Cambria Math" w:hAnsi="Cambria Math"/>
                                  <w:i/>
                                  <w:sz w:val="22"/>
                                  <w:szCs w:val="22"/>
                                </w:rPr>
                              </m:ctrlPr>
                            </m:sSubPr>
                            <m:e>
                              <m:r>
                                <w:rPr>
                                  <w:rFonts w:ascii="Cambria Math" w:hAnsi="Cambria Math"/>
                                  <w:sz w:val="22"/>
                                  <w:szCs w:val="22"/>
                                </w:rPr>
                                <m:t>q</m:t>
                              </m:r>
                            </m:e>
                            <m:sub>
                              <m:r>
                                <w:rPr>
                                  <w:rFonts w:ascii="Cambria Math" w:hAnsi="Cambria Math"/>
                                  <w:sz w:val="22"/>
                                  <w:szCs w:val="22"/>
                                </w:rPr>
                                <m:t>t</m:t>
                              </m:r>
                            </m:sub>
                          </m:sSub>
                        </m:num>
                        <m:den>
                          <m:r>
                            <w:rPr>
                              <w:rFonts w:ascii="Cambria Math" w:hAnsi="Cambria Math"/>
                              <w:sz w:val="22"/>
                              <w:szCs w:val="22"/>
                            </w:rPr>
                            <m:t>4</m:t>
                          </m:r>
                        </m:den>
                      </m:f>
                    </m:e>
                  </m:d>
                </m:e>
              </m:func>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γ</m:t>
                  </m:r>
                </m:e>
                <m:sub>
                  <m:r>
                    <w:rPr>
                      <w:rFonts w:ascii="Cambria Math" w:hAnsi="Cambria Math"/>
                      <w:sz w:val="22"/>
                      <w:szCs w:val="22"/>
                    </w:rPr>
                    <m:t>4</m:t>
                  </m:r>
                </m:sub>
              </m:sSub>
            </m:oMath>
            <w:r>
              <w:rPr>
                <w:rFonts w:eastAsiaTheme="minorEastAsia"/>
                <w:sz w:val="22"/>
                <w:szCs w:val="22"/>
              </w:rPr>
              <w:t>sin</w:t>
            </w:r>
            <m:oMath>
              <m:d>
                <m:dPr>
                  <m:ctrlPr>
                    <w:rPr>
                      <w:rFonts w:ascii="Cambria Math" w:hAnsi="Cambria Math"/>
                      <w:i/>
                      <w:sz w:val="22"/>
                      <w:szCs w:val="22"/>
                    </w:rPr>
                  </m:ctrlPr>
                </m:dPr>
                <m:e>
                  <m:f>
                    <m:fPr>
                      <m:ctrlPr>
                        <w:rPr>
                          <w:rFonts w:ascii="Cambria Math" w:hAnsi="Cambria Math"/>
                          <w:i/>
                          <w:sz w:val="22"/>
                          <w:szCs w:val="22"/>
                        </w:rPr>
                      </m:ctrlPr>
                    </m:fPr>
                    <m:num>
                      <m:r>
                        <w:rPr>
                          <w:rFonts w:ascii="Cambria Math" w:hAnsi="Cambria Math"/>
                          <w:sz w:val="22"/>
                          <w:szCs w:val="22"/>
                        </w:rPr>
                        <m:t>2π</m:t>
                      </m:r>
                      <m:sSub>
                        <m:sSubPr>
                          <m:ctrlPr>
                            <w:rPr>
                              <w:rFonts w:ascii="Cambria Math" w:hAnsi="Cambria Math"/>
                              <w:i/>
                              <w:sz w:val="22"/>
                              <w:szCs w:val="22"/>
                            </w:rPr>
                          </m:ctrlPr>
                        </m:sSubPr>
                        <m:e>
                          <m:r>
                            <w:rPr>
                              <w:rFonts w:ascii="Cambria Math" w:hAnsi="Cambria Math"/>
                              <w:sz w:val="22"/>
                              <w:szCs w:val="22"/>
                            </w:rPr>
                            <m:t>q</m:t>
                          </m:r>
                        </m:e>
                        <m:sub>
                          <m:r>
                            <w:rPr>
                              <w:rFonts w:ascii="Cambria Math" w:hAnsi="Cambria Math"/>
                              <w:sz w:val="22"/>
                              <w:szCs w:val="22"/>
                            </w:rPr>
                            <m:t>t</m:t>
                          </m:r>
                        </m:sub>
                      </m:sSub>
                    </m:num>
                    <m:den>
                      <m:r>
                        <w:rPr>
                          <w:rFonts w:ascii="Cambria Math" w:hAnsi="Cambria Math"/>
                          <w:sz w:val="22"/>
                          <w:szCs w:val="22"/>
                        </w:rPr>
                        <m:t>4</m:t>
                      </m:r>
                    </m:den>
                  </m:f>
                </m:e>
              </m:d>
              <m:r>
                <w:rPr>
                  <w:rFonts w:ascii="Cambria Math" w:hAnsi="Cambria Math"/>
                  <w:sz w:val="22"/>
                  <w:szCs w:val="22"/>
                </w:rPr>
                <m:t xml:space="preserve">+ </m:t>
              </m:r>
              <m:nary>
                <m:naryPr>
                  <m:chr m:val="∑"/>
                  <m:limLoc m:val="undOvr"/>
                  <m:supHide m:val="1"/>
                  <m:ctrlPr>
                    <w:rPr>
                      <w:rFonts w:ascii="Cambria Math" w:hAnsi="Cambria Math"/>
                      <w:i/>
                      <w:sz w:val="22"/>
                      <w:szCs w:val="22"/>
                    </w:rPr>
                  </m:ctrlPr>
                </m:naryPr>
                <m:sub>
                  <m:r>
                    <w:rPr>
                      <w:rFonts w:ascii="Cambria Math" w:hAnsi="Cambria Math"/>
                      <w:sz w:val="22"/>
                      <w:szCs w:val="22"/>
                    </w:rPr>
                    <m:t>i</m:t>
                  </m:r>
                </m:sub>
                <m:sup/>
                <m:e>
                  <m:sSub>
                    <m:sSubPr>
                      <m:ctrlPr>
                        <w:rPr>
                          <w:rFonts w:ascii="Cambria Math" w:hAnsi="Cambria Math"/>
                          <w:i/>
                          <w:sz w:val="22"/>
                          <w:szCs w:val="22"/>
                        </w:rPr>
                      </m:ctrlPr>
                    </m:sSubPr>
                    <m:e>
                      <m:r>
                        <w:rPr>
                          <w:rFonts w:ascii="Cambria Math" w:hAnsi="Cambria Math"/>
                          <w:sz w:val="22"/>
                          <w:szCs w:val="22"/>
                        </w:rPr>
                        <m:t>δ</m:t>
                      </m:r>
                    </m:e>
                    <m:sub>
                      <m:r>
                        <w:rPr>
                          <w:rFonts w:ascii="Cambria Math" w:hAnsi="Cambria Math"/>
                          <w:sz w:val="22"/>
                          <w:szCs w:val="22"/>
                        </w:rPr>
                        <m:t>i</m:t>
                      </m:r>
                    </m:sub>
                  </m:sSub>
                  <m:sSub>
                    <m:sSubPr>
                      <m:ctrlPr>
                        <w:rPr>
                          <w:rFonts w:ascii="Cambria Math" w:hAnsi="Cambria Math"/>
                          <w:i/>
                          <w:sz w:val="22"/>
                          <w:szCs w:val="22"/>
                        </w:rPr>
                      </m:ctrlPr>
                    </m:sSubPr>
                    <m:e>
                      <m:r>
                        <w:rPr>
                          <w:rFonts w:ascii="Cambria Math" w:hAnsi="Cambria Math"/>
                          <w:sz w:val="22"/>
                          <w:szCs w:val="22"/>
                        </w:rPr>
                        <m:t>DISCO</m:t>
                      </m:r>
                    </m:e>
                    <m:sub>
                      <m:r>
                        <w:rPr>
                          <w:rFonts w:ascii="Cambria Math" w:hAnsi="Cambria Math"/>
                          <w:sz w:val="22"/>
                          <w:szCs w:val="22"/>
                        </w:rPr>
                        <m:t>i</m:t>
                      </m:r>
                    </m:sub>
                  </m:sSub>
                </m:e>
              </m:nary>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u</m:t>
                  </m:r>
                </m:e>
                <m:sub>
                  <m:r>
                    <w:rPr>
                      <w:rFonts w:ascii="Cambria Math" w:hAnsi="Cambria Math"/>
                      <w:sz w:val="22"/>
                      <w:szCs w:val="22"/>
                    </w:rPr>
                    <m:t>2,it</m:t>
                  </m:r>
                </m:sub>
              </m:sSub>
            </m:oMath>
          </w:p>
        </w:tc>
        <w:tc>
          <w:tcPr>
            <w:tcW w:w="425" w:type="dxa"/>
          </w:tcPr>
          <w:p w14:paraId="77F16CB2" w14:textId="77777777" w:rsidR="00DA061C" w:rsidRPr="00DA061C" w:rsidRDefault="00DA061C" w:rsidP="00A670A1">
            <w:pPr>
              <w:jc w:val="right"/>
              <w:rPr>
                <w:sz w:val="22"/>
                <w:szCs w:val="22"/>
              </w:rPr>
            </w:pPr>
            <w:r>
              <w:rPr>
                <w:sz w:val="22"/>
                <w:szCs w:val="22"/>
              </w:rPr>
              <w:t>1.2</w:t>
            </w:r>
          </w:p>
        </w:tc>
      </w:tr>
    </w:tbl>
    <w:p w14:paraId="566CC0CB" w14:textId="77777777" w:rsidR="00DA061C" w:rsidRDefault="00DA061C" w:rsidP="004B37CE">
      <w:r>
        <w:t>with observed offtake given by</w:t>
      </w:r>
    </w:p>
    <w:tbl>
      <w:tblPr>
        <w:tblStyle w:val="TableGrid"/>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76"/>
        <w:gridCol w:w="491"/>
      </w:tblGrid>
      <w:tr w:rsidR="00DA061C" w:rsidRPr="00DA061C" w14:paraId="7B0345FD" w14:textId="77777777" w:rsidTr="00DA061C">
        <w:tc>
          <w:tcPr>
            <w:tcW w:w="8576" w:type="dxa"/>
          </w:tcPr>
          <w:p w14:paraId="252D2222" w14:textId="77777777" w:rsidR="00DA061C" w:rsidRPr="00DA061C" w:rsidRDefault="00000000" w:rsidP="00A670A1">
            <w:pPr>
              <w:rPr>
                <w:sz w:val="22"/>
                <w:szCs w:val="22"/>
              </w:rPr>
            </w:pPr>
            <m:oMathPara>
              <m:oMathParaPr>
                <m:jc m:val="center"/>
              </m:oMathParaPr>
              <m:oMath>
                <m:sSub>
                  <m:sSubPr>
                    <m:ctrlPr>
                      <w:rPr>
                        <w:rFonts w:ascii="Cambria Math" w:hAnsi="Cambria Math"/>
                        <w:i/>
                        <w:sz w:val="22"/>
                        <w:szCs w:val="22"/>
                      </w:rPr>
                    </m:ctrlPr>
                  </m:sSubPr>
                  <m:e>
                    <m:r>
                      <w:rPr>
                        <w:rFonts w:ascii="Cambria Math" w:hAnsi="Cambria Math"/>
                        <w:sz w:val="22"/>
                        <w:szCs w:val="22"/>
                      </w:rPr>
                      <m:t>Q</m:t>
                    </m:r>
                  </m:e>
                  <m:sub>
                    <m:r>
                      <w:rPr>
                        <w:rFonts w:ascii="Cambria Math" w:hAnsi="Cambria Math"/>
                        <w:sz w:val="22"/>
                        <w:szCs w:val="22"/>
                      </w:rPr>
                      <m:t>it</m:t>
                    </m:r>
                  </m:sub>
                </m:sSub>
                <m:r>
                  <w:rPr>
                    <w:rFonts w:ascii="Cambria Math" w:hAnsi="Cambria Math"/>
                    <w:sz w:val="22"/>
                    <w:szCs w:val="22"/>
                  </w:rPr>
                  <m:t>=</m:t>
                </m:r>
                <m:func>
                  <m:funcPr>
                    <m:ctrlPr>
                      <w:rPr>
                        <w:rFonts w:ascii="Cambria Math" w:hAnsi="Cambria Math"/>
                        <w:i/>
                        <w:sz w:val="22"/>
                        <w:szCs w:val="22"/>
                      </w:rPr>
                    </m:ctrlPr>
                  </m:funcPr>
                  <m:fName>
                    <m:r>
                      <m:rPr>
                        <m:sty m:val="p"/>
                      </m:rPr>
                      <w:rPr>
                        <w:rFonts w:ascii="Cambria Math" w:hAnsi="Cambria Math"/>
                        <w:sz w:val="22"/>
                        <w:szCs w:val="22"/>
                      </w:rPr>
                      <m:t>min</m:t>
                    </m:r>
                  </m:fName>
                  <m:e>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it</m:t>
                        </m:r>
                      </m:sub>
                    </m:sSub>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S</m:t>
                        </m:r>
                      </m:e>
                      <m:sub>
                        <m:r>
                          <w:rPr>
                            <w:rFonts w:ascii="Cambria Math" w:hAnsi="Cambria Math"/>
                            <w:sz w:val="22"/>
                            <w:szCs w:val="22"/>
                          </w:rPr>
                          <m:t>it</m:t>
                        </m:r>
                      </m:sub>
                    </m:sSub>
                    <m:r>
                      <w:rPr>
                        <w:rFonts w:ascii="Cambria Math" w:hAnsi="Cambria Math"/>
                        <w:sz w:val="22"/>
                        <w:szCs w:val="22"/>
                      </w:rPr>
                      <m:t xml:space="preserve"> )</m:t>
                    </m:r>
                  </m:e>
                </m:func>
              </m:oMath>
            </m:oMathPara>
          </w:p>
        </w:tc>
        <w:tc>
          <w:tcPr>
            <w:tcW w:w="491" w:type="dxa"/>
          </w:tcPr>
          <w:p w14:paraId="4F834BE4" w14:textId="77777777" w:rsidR="00DA061C" w:rsidRPr="00DA061C" w:rsidRDefault="00DA061C" w:rsidP="00A670A1">
            <w:pPr>
              <w:jc w:val="right"/>
              <w:rPr>
                <w:sz w:val="22"/>
                <w:szCs w:val="22"/>
              </w:rPr>
            </w:pPr>
            <w:r>
              <w:rPr>
                <w:sz w:val="22"/>
                <w:szCs w:val="22"/>
              </w:rPr>
              <w:t>1.3</w:t>
            </w:r>
          </w:p>
        </w:tc>
      </w:tr>
    </w:tbl>
    <w:p w14:paraId="47A0E4C9" w14:textId="0BA63992" w:rsidR="00DE3DCA" w:rsidRPr="00AA11A5" w:rsidRDefault="00000000" w:rsidP="00FA54E6">
      <m:oMath>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it</m:t>
            </m:r>
          </m:sub>
        </m:sSub>
        <m:r>
          <w:rPr>
            <w:rFonts w:ascii="Cambria Math" w:hAnsi="Cambria Math"/>
            <w:sz w:val="22"/>
            <w:szCs w:val="22"/>
          </w:rPr>
          <m:t xml:space="preserve"> and </m:t>
        </m:r>
        <m:sSub>
          <m:sSubPr>
            <m:ctrlPr>
              <w:rPr>
                <w:rFonts w:ascii="Cambria Math" w:hAnsi="Cambria Math"/>
                <w:i/>
                <w:sz w:val="22"/>
                <w:szCs w:val="22"/>
              </w:rPr>
            </m:ctrlPr>
          </m:sSubPr>
          <m:e>
            <m:r>
              <w:rPr>
                <w:rFonts w:ascii="Cambria Math" w:hAnsi="Cambria Math"/>
                <w:sz w:val="22"/>
                <w:szCs w:val="22"/>
              </w:rPr>
              <m:t>S</m:t>
            </m:r>
          </m:e>
          <m:sub>
            <m:r>
              <w:rPr>
                <w:rFonts w:ascii="Cambria Math" w:hAnsi="Cambria Math"/>
                <w:sz w:val="22"/>
                <w:szCs w:val="22"/>
              </w:rPr>
              <m:t>it</m:t>
            </m:r>
          </m:sub>
        </m:sSub>
      </m:oMath>
      <w:r>
        <w:rPr>
          <w:rFonts w:eastAsiaTheme="minorEastAsia"/>
          <w:sz w:val="22"/>
          <w:szCs w:val="22"/>
        </w:rPr>
        <w:t xml:space="preserve"> </w:t>
      </w:r>
      <w:r>
        <w:t xml:space="preserve">are never observed individually; only their minimum, </w:t>
      </w:r>
      <m:oMath>
        <m:sSub>
          <m:sSubPr>
            <m:ctrlPr>
              <w:rPr>
                <w:rFonts w:ascii="Cambria Math" w:hAnsi="Cambria Math"/>
                <w:i/>
                <w:sz w:val="22"/>
                <w:szCs w:val="22"/>
              </w:rPr>
            </m:ctrlPr>
          </m:sSubPr>
          <m:e>
            <m:r>
              <w:rPr>
                <w:rFonts w:ascii="Cambria Math" w:hAnsi="Cambria Math"/>
                <w:sz w:val="22"/>
                <w:szCs w:val="22"/>
              </w:rPr>
              <m:t>Q</m:t>
            </m:r>
          </m:e>
          <m:sub>
            <m:r>
              <w:rPr>
                <w:rFonts w:ascii="Cambria Math" w:hAnsi="Cambria Math"/>
                <w:sz w:val="22"/>
                <w:szCs w:val="22"/>
              </w:rPr>
              <m:t>it</m:t>
            </m:r>
          </m:sub>
        </m:sSub>
      </m:oMath>
      <w:r>
        <w:rPr>
          <w:rFonts w:eastAsiaTheme="minorEastAsia"/>
          <w:sz w:val="22"/>
          <w:szCs w:val="22"/>
        </w:rPr>
        <w:t xml:space="preserve">, is. </w:t>
      </w:r>
      <m:oMath>
        <m:sSub>
          <m:sSubPr>
            <m:ctrlPr>
              <w:rPr>
                <w:rFonts w:ascii="Cambria Math" w:hAnsi="Cambria Math"/>
                <w:i/>
                <w:sz w:val="22"/>
                <w:szCs w:val="22"/>
              </w:rPr>
            </m:ctrlPr>
          </m:sSubPr>
          <m:e>
            <m:r>
              <w:rPr>
                <w:rFonts w:ascii="Cambria Math" w:hAnsi="Cambria Math"/>
                <w:sz w:val="22"/>
                <w:szCs w:val="22"/>
              </w:rPr>
              <m:t>IGR</m:t>
            </m:r>
          </m:e>
          <m:sub>
            <m:r>
              <w:rPr>
                <w:rFonts w:ascii="Cambria Math" w:hAnsi="Cambria Math"/>
                <w:sz w:val="22"/>
                <w:szCs w:val="22"/>
              </w:rPr>
              <m:t>i</m:t>
            </m:r>
          </m:sub>
        </m:sSub>
      </m:oMath>
      <w:r>
        <w:rPr>
          <w:rFonts w:eastAsiaTheme="minorEastAsia"/>
          <w:sz w:val="22"/>
          <w:szCs w:val="22"/>
        </w:rPr>
        <w:t xml:space="preserve"> is</w:t>
      </w:r>
      <w:r>
        <w:t xml:space="preserve"> the DISCO's aggregated state Internally Generated Revenue; </w:t>
      </w:r>
      <m:oMath>
        <m:sSub>
          <m:sSubPr>
            <m:ctrlPr>
              <w:rPr>
                <w:rFonts w:ascii="Cambria Math" w:eastAsiaTheme="minorEastAsia" w:hAnsi="Cambria Math"/>
                <w:i/>
                <w:sz w:val="22"/>
                <w:szCs w:val="22"/>
              </w:rPr>
            </m:ctrlPr>
          </m:sSubPr>
          <m:e>
            <m:r>
              <w:rPr>
                <w:rFonts w:ascii="Cambria Math" w:eastAsiaTheme="minorEastAsia" w:hAnsi="Cambria Math"/>
                <w:sz w:val="22"/>
                <w:szCs w:val="22"/>
              </w:rPr>
              <m:t>Lagos</m:t>
            </m:r>
          </m:e>
          <m:sub>
            <m:r>
              <w:rPr>
                <w:rFonts w:ascii="Cambria Math" w:eastAsiaTheme="minorEastAsia" w:hAnsi="Cambria Math"/>
                <w:sz w:val="22"/>
                <w:szCs w:val="22"/>
              </w:rPr>
              <m:t>i</m:t>
            </m:r>
          </m:sub>
        </m:sSub>
      </m:oMath>
      <w:r>
        <w:rPr>
          <w:rFonts w:eastAsiaTheme="minorEastAsia"/>
          <w:sz w:val="22"/>
          <w:szCs w:val="22"/>
        </w:rPr>
        <w:t xml:space="preserve"> </w:t>
      </w:r>
      <w:r>
        <w:t xml:space="preserve">is an indicator equal to one for the two Lagos-area DISCOs (Eko, Ikeja) and zero otherwise; </w:t>
      </w:r>
      <m:oMath>
        <m:sSub>
          <m:sSubPr>
            <m:ctrlPr>
              <w:rPr>
                <w:rFonts w:ascii="Cambria Math" w:hAnsi="Cambria Math"/>
                <w:i/>
              </w:rPr>
            </m:ctrlPr>
          </m:sSubPr>
          <m:e>
            <m:r>
              <w:rPr>
                <w:rFonts w:ascii="Cambria Math" w:hAnsi="Cambria Math"/>
              </w:rPr>
              <m:t>q</m:t>
            </m:r>
          </m:e>
          <m:sub>
            <m:r>
              <w:rPr>
                <w:rFonts w:ascii="Cambria Math" w:hAnsi="Cambria Math"/>
              </w:rPr>
              <m:t>t</m:t>
            </m:r>
          </m:sub>
        </m:sSub>
        <m:r>
          <w:rPr>
            <w:rFonts w:ascii="Cambria Math" w:hAnsi="Cambria Math"/>
          </w:rPr>
          <m:t xml:space="preserve"> ∈{1,2,3,4}</m:t>
        </m:r>
      </m:oMath>
      <w:r>
        <w:t xml:space="preserve">is calendar quarter; </w:t>
      </w:r>
      <m:oMath>
        <m:sSub>
          <m:sSubPr>
            <m:ctrlPr>
              <w:rPr>
                <w:rFonts w:ascii="Cambria Math" w:hAnsi="Cambria Math"/>
                <w:i/>
                <w:sz w:val="22"/>
                <w:szCs w:val="22"/>
              </w:rPr>
            </m:ctrlPr>
          </m:sSubPr>
          <m:e>
            <m:r>
              <w:rPr>
                <w:rFonts w:ascii="Cambria Math" w:hAnsi="Cambria Math"/>
                <w:sz w:val="22"/>
                <w:szCs w:val="22"/>
              </w:rPr>
              <m:t>PCC</m:t>
            </m:r>
          </m:e>
          <m:sub>
            <m:r>
              <w:rPr>
                <w:rFonts w:ascii="Cambria Math" w:hAnsi="Cambria Math"/>
                <w:sz w:val="22"/>
                <w:szCs w:val="22"/>
              </w:rPr>
              <m:t>it</m:t>
            </m:r>
          </m:sub>
        </m:sSub>
      </m:oMath>
      <w:r>
        <w:rPr>
          <w:rFonts w:eastAsiaTheme="minorEastAsia"/>
          <w:sz w:val="22"/>
          <w:szCs w:val="22"/>
        </w:rPr>
        <w:t xml:space="preserve"> </w:t>
      </w:r>
      <w:r>
        <w:rPr>
          <w:rFonts w:eastAsiaTheme="minorEastAsia"/>
        </w:rPr>
        <w:t xml:space="preserve">is contracted capacity; </w:t>
      </w:r>
      <m:oMath>
        <m:sSub>
          <m:sSubPr>
            <m:ctrlPr>
              <w:rPr>
                <w:rFonts w:ascii="Cambria Math" w:hAnsi="Cambria Math"/>
                <w:i/>
                <w:sz w:val="22"/>
                <w:szCs w:val="22"/>
              </w:rPr>
            </m:ctrlPr>
          </m:sSubPr>
          <m:e>
            <m:r>
              <w:rPr>
                <w:rFonts w:ascii="Cambria Math" w:hAnsi="Cambria Math"/>
                <w:sz w:val="22"/>
                <w:szCs w:val="22"/>
              </w:rPr>
              <m:t>PAF</m:t>
            </m:r>
          </m:e>
          <m:sub>
            <m:r>
              <w:rPr>
                <w:rFonts w:ascii="Cambria Math" w:hAnsi="Cambria Math"/>
                <w:sz w:val="22"/>
                <w:szCs w:val="22"/>
              </w:rPr>
              <m:t>t</m:t>
            </m:r>
          </m:sub>
        </m:sSub>
      </m:oMath>
      <w:r>
        <w:rPr>
          <w:rFonts w:eastAsiaTheme="minorEastAsia"/>
          <w:sz w:val="22"/>
          <w:szCs w:val="22"/>
        </w:rPr>
        <w:t xml:space="preserve"> </w:t>
      </w:r>
      <w:r>
        <w:t xml:space="preserve">is national plant availability, common to all DISCOs in a given quarter; </w:t>
      </w:r>
      <m:oMath>
        <m:sSub>
          <m:sSubPr>
            <m:ctrlPr>
              <w:rPr>
                <w:rFonts w:ascii="Cambria Math" w:hAnsi="Cambria Math"/>
                <w:i/>
                <w:sz w:val="22"/>
                <w:szCs w:val="22"/>
              </w:rPr>
            </m:ctrlPr>
          </m:sSubPr>
          <m:e>
            <m:r>
              <w:rPr>
                <w:rFonts w:ascii="Cambria Math" w:hAnsi="Cambria Math"/>
                <w:sz w:val="22"/>
                <w:szCs w:val="22"/>
              </w:rPr>
              <m:t>DISCO</m:t>
            </m:r>
          </m:e>
          <m:sub>
            <m:r>
              <w:rPr>
                <w:rFonts w:ascii="Cambria Math" w:hAnsi="Cambria Math"/>
                <w:sz w:val="22"/>
                <w:szCs w:val="22"/>
              </w:rPr>
              <m:t>i</m:t>
            </m:r>
          </m:sub>
        </m:sSub>
      </m:oMath>
      <w:r>
        <w:rPr>
          <w:rFonts w:eastAsiaTheme="minorEastAsia"/>
          <w:sz w:val="22"/>
          <w:szCs w:val="22"/>
        </w:rPr>
        <w:t xml:space="preserve"> </w:t>
      </w:r>
      <w:r>
        <w:rPr>
          <w:rFonts w:eastAsiaTheme="minorEastAsia"/>
        </w:rPr>
        <w:t xml:space="preserve">are DISCO fixed effects (ten dummies, Yola the reference category). </w:t>
      </w:r>
      <w:r>
        <w:t xml:space="preserve">The disturbances are assumed </w:t>
      </w:r>
      <m:oMath>
        <m:sSub>
          <m:sSubPr>
            <m:ctrlPr>
              <w:rPr>
                <w:rFonts w:ascii="Cambria Math" w:hAnsi="Cambria Math"/>
                <w:i/>
              </w:rPr>
            </m:ctrlPr>
          </m:sSubPr>
          <m:e>
            <m:r>
              <w:rPr>
                <w:rFonts w:ascii="Cambria Math" w:hAnsi="Cambria Math"/>
              </w:rPr>
              <m:t>u</m:t>
            </m:r>
          </m:e>
          <m:sub>
            <m:r>
              <w:rPr>
                <w:rFonts w:ascii="Cambria Math" w:hAnsi="Cambria Math"/>
              </w:rPr>
              <m:t>1, it</m:t>
            </m:r>
          </m:sub>
        </m:sSub>
        <m:r>
          <w:rPr>
            <w:rFonts w:ascii="Cambria Math" w:hAnsi="Cambria Math"/>
          </w:rPr>
          <m:t xml:space="preserve"> ~ N(0,</m:t>
        </m:r>
        <m:sSubSup>
          <m:sSubSupPr>
            <m:ctrlPr>
              <w:rPr>
                <w:rFonts w:ascii="Cambria Math" w:hAnsi="Cambria Math"/>
                <w:i/>
              </w:rPr>
            </m:ctrlPr>
          </m:sSubSupPr>
          <m:e>
            <m:r>
              <w:rPr>
                <w:rFonts w:ascii="Cambria Math" w:hAnsi="Cambria Math"/>
              </w:rPr>
              <m:t>σ</m:t>
            </m:r>
          </m:e>
          <m:sub>
            <m:r>
              <w:rPr>
                <w:rFonts w:ascii="Cambria Math" w:hAnsi="Cambria Math"/>
              </w:rPr>
              <m:t>1</m:t>
            </m:r>
          </m:sub>
          <m:sup>
            <m:r>
              <w:rPr>
                <w:rFonts w:ascii="Cambria Math" w:hAnsi="Cambria Math"/>
              </w:rPr>
              <m:t>2</m:t>
            </m:r>
          </m:sup>
        </m:sSubSup>
        <m:r>
          <w:rPr>
            <w:rFonts w:ascii="Cambria Math" w:hAnsi="Cambria Math"/>
          </w:rPr>
          <m:t>)</m:t>
        </m:r>
      </m:oMath>
      <w:r>
        <w:t xml:space="preserve">, </w:t>
      </w:r>
      <m:oMath>
        <m:sSub>
          <m:sSubPr>
            <m:ctrlPr>
              <w:rPr>
                <w:rFonts w:ascii="Cambria Math" w:hAnsi="Cambria Math"/>
                <w:i/>
              </w:rPr>
            </m:ctrlPr>
          </m:sSubPr>
          <m:e>
            <m:r>
              <w:rPr>
                <w:rFonts w:ascii="Cambria Math" w:hAnsi="Cambria Math"/>
              </w:rPr>
              <m:t>u</m:t>
            </m:r>
          </m:e>
          <m:sub>
            <m:r>
              <w:rPr>
                <w:rFonts w:ascii="Cambria Math" w:hAnsi="Cambria Math"/>
              </w:rPr>
              <m:t>2, it</m:t>
            </m:r>
          </m:sub>
        </m:sSub>
        <m:r>
          <w:rPr>
            <w:rFonts w:ascii="Cambria Math" w:hAnsi="Cambria Math"/>
          </w:rPr>
          <m:t xml:space="preserve"> ~ N(0,</m:t>
        </m:r>
        <m:sSubSup>
          <m:sSubSupPr>
            <m:ctrlPr>
              <w:rPr>
                <w:rFonts w:ascii="Cambria Math" w:hAnsi="Cambria Math"/>
                <w:i/>
              </w:rPr>
            </m:ctrlPr>
          </m:sSubSupPr>
          <m:e>
            <m:r>
              <w:rPr>
                <w:rFonts w:ascii="Cambria Math" w:hAnsi="Cambria Math"/>
              </w:rPr>
              <m:t>σ</m:t>
            </m:r>
          </m:e>
          <m:sub>
            <m:r>
              <w:rPr>
                <w:rFonts w:ascii="Cambria Math" w:hAnsi="Cambria Math"/>
              </w:rPr>
              <m:t>2</m:t>
            </m:r>
          </m:sub>
          <m:sup>
            <m:r>
              <w:rPr>
                <w:rFonts w:ascii="Cambria Math" w:hAnsi="Cambria Math"/>
              </w:rPr>
              <m:t>2</m:t>
            </m:r>
          </m:sup>
        </m:sSubSup>
        <m:r>
          <w:rPr>
            <w:rFonts w:ascii="Cambria Math" w:hAnsi="Cambria Math"/>
          </w:rPr>
          <m:t>)</m:t>
        </m:r>
      </m:oMath>
      <w:r>
        <w:t xml:space="preserve"> independent of each other and across i and t, the maintained assumption of Maddala and Nelson's (1974) Model 1. This assumption is tested directly in Section 6.</w:t>
      </w:r>
    </w:p>
    <w:p w14:paraId="0275BFD3" w14:textId="77777777" w:rsidR="00FA54E6" w:rsidRDefault="00FA54E6" w:rsidP="00FA54E6">
      <w:pPr>
        <w:pStyle w:val="Heading2"/>
        <w:numPr>
          <w:ilvl w:val="0"/>
          <w:numId w:val="0"/>
        </w:numPr>
      </w:pPr>
      <w:bookmarkStart w:id="8" w:name="_Toc157591801"/>
      <w:r>
        <w:t xml:space="preserve">5.2 </w:t>
      </w:r>
      <w:bookmarkEnd w:id="8"/>
      <w:r>
        <w:t>Identification</w:t>
      </w:r>
    </w:p>
    <w:p w14:paraId="7A4CBC18" w14:textId="77777777" w:rsidR="00FA54E6" w:rsidRDefault="00FA54E6" w:rsidP="00FA54E6">
      <w:r>
        <w:t>The model is identified by two exclusion restrictions, each grounded in how Nigeria's electricity market is actually administered rather than in a statistical convenience.</w:t>
      </w:r>
    </w:p>
    <w:p w14:paraId="6CD8D8A2" w14:textId="77777777" w:rsidR="00FA54E6" w:rsidRDefault="00FA54E6" w:rsidP="00FA54E6">
      <w:r>
        <w:t xml:space="preserve">Contracted capacity and plant availability are excluded from the demand equation because both are supply-side quantities set independently of a DISCO's current desire to consume. Contracted capacity is fixed through NERC's regulatory tariff-order process and revised on an </w:t>
      </w:r>
      <w:r>
        <w:lastRenderedPageBreak/>
        <w:t>administrative schedule, not in response to a DISCO's offtake in the same quarter (Section 3). Plant availability is a single national figure, common to every DISCO in a given quarter, reflecting the condition of generation plant rather than any individual DISCO's demand. Neither variable can plausibly be driven by how much electricity a DISCO's customers want in that quarter; both can plausibly constrain how much the DISCO receives.</w:t>
      </w:r>
    </w:p>
    <w:p w14:paraId="55FBAF9E" w14:textId="77777777" w:rsidR="00FA54E6" w:rsidRDefault="00FA54E6" w:rsidP="00FA54E6">
      <w:r>
        <w:t>State economic activity is excluded from the supply equation on the reverse logic: NERC's capacity allocation is set by regulatory order, not by a live assessment of a state's current tax revenue, and nothing in the allocation process adjusts a DISCO's contracted capacity because its franchise territory's Internally Generated Revenue rose or fell in a given quarter. The channel runs the other way: a wealthier, more commercially active franchise area is expected to want more electricity, not to be supplied more electricity for having a larger state budget.</w:t>
      </w:r>
    </w:p>
    <w:p w14:paraId="338D287A" w14:textId="77777777" w:rsidR="00FA54E6" w:rsidRDefault="00FA54E6" w:rsidP="00FA54E6">
      <w:r>
        <w:t xml:space="preserve">One channel qualifies this restriction. Contracted capacity allocation is weighted, in part, by a DISCO's customer base (Section 3), and customer base and state economic activity are themselves correlated: a wealthier state plausibly has more electricity customers as well as higher IGR. If this correlation were left unaddressed, part of what looks like a demand response to IGR could instead be capturing a supply allocation that happens to be larger where IGR is also larger. The DISCO fixed effects in the supply equation absorb exactly this channel: they capture each DISCO's time-invariant baseline allocation, including whatever part of that allocation is explained by its customer base, leaving PCC's own coefficient to be identified from within-DISCO, quarter-to-quarter variation in contracted capacity, driven by regulatory revision rather than by a DISCO’s underlying size. The same fixed effects that address this concern do not appear in the demand equation, where the corresponding cross-sectional variation in IGR is precisely what is needed to identify </w:t>
      </w:r>
      <m:oMath>
        <m:sSub>
          <m:sSubPr>
            <m:ctrlPr>
              <w:rPr>
                <w:rFonts w:ascii="Cambria Math" w:hAnsi="Cambria Math"/>
                <w:i/>
              </w:rPr>
            </m:ctrlPr>
          </m:sSubPr>
          <m:e>
            <m:r>
              <w:rPr>
                <w:rFonts w:ascii="Cambria Math" w:hAnsi="Cambria Math"/>
              </w:rPr>
              <m:t>β</m:t>
            </m:r>
          </m:e>
          <m:sub>
            <m:r>
              <w:rPr>
                <w:rFonts w:ascii="Cambria Math" w:hAnsi="Cambria Math"/>
              </w:rPr>
              <m:t>1</m:t>
            </m:r>
          </m:sub>
        </m:sSub>
      </m:oMath>
      <w:r>
        <w:t>.</w:t>
      </w:r>
    </w:p>
    <w:p w14:paraId="49568F43" w14:textId="77777777" w:rsidR="00FA54E6" w:rsidRDefault="00FA54E6" w:rsidP="00930399">
      <w:r>
        <w:t>Under these restrictions, the regime each DISCO-quarter occupies (demand-constrained or supply-constrained) is not assumed. It is recovered from the joint likelihood in Section 5.4, as the relative position of the fitted demand and supply curves at the observed quantity.</w:t>
      </w:r>
    </w:p>
    <w:p w14:paraId="18C2C6FF" w14:textId="77777777" w:rsidR="00FA54E6" w:rsidRDefault="00FA54E6" w:rsidP="00FA54E6">
      <w:pPr>
        <w:pStyle w:val="Heading2"/>
        <w:numPr>
          <w:ilvl w:val="0"/>
          <w:numId w:val="0"/>
        </w:numPr>
      </w:pPr>
      <w:r>
        <w:t>5.3 Functional Form</w:t>
      </w:r>
    </w:p>
    <w:p w14:paraId="0358ED52" w14:textId="77777777" w:rsidR="00FA54E6" w:rsidRDefault="00FA54E6" w:rsidP="00FA54E6">
      <w:r>
        <w:t>Two choices in the specification above depart from an equally natural alternative and are defended here.</w:t>
      </w:r>
    </w:p>
    <w:p w14:paraId="05951D9D" w14:textId="77777777" w:rsidR="00FA54E6" w:rsidRDefault="00FA54E6" w:rsidP="00FA54E6">
      <w:r>
        <w:lastRenderedPageBreak/>
        <w:t>Seasonality is modelled as a smooth annual cycle, not a separate coefficient per quarter. An earlier specification using three quarterly dummies (with Q4 as reference) left the demand equation's Q1 coefficient effectively unidentified: no DISCO-quarter in Q1, across the full panel, ever approaches its fitted demand ceiling, so the data contain no information about a Q1-specific demand shift distinct from the pattern traced by the other three quarters. The harmonic terms impose a single, smooth annual cycle instead of estimating each quarter independently, using two parameters rather than three and, critically, forcing Q1's implied position onto the curve traced by the quarters that do reveal information, rather than leaving it to float on data that cannot pin it down. The harmonic form assumes the underlying seasonal pattern is smooth rather than allowing an arbitrary shift at any single quarter. Section 6 reports the diagnostic that motivated this choice and confirms the resulting seasonal shape tracks Nigeria's rainy-to-dry seasonal cycle.</w:t>
      </w:r>
    </w:p>
    <w:p w14:paraId="449DB3B3" w14:textId="77777777" w:rsidR="00FA54E6" w:rsidRDefault="00FA54E6" w:rsidP="00930399">
      <w:r>
        <w:t>The IGR coefficient is allowed to differ for the two Lagos-area DISCOs (Eko, Ikeja). This interaction was adopted by comparing a pooled specification, in which every DISCO shares a single demand elasticity with respect to IGR, against one permitting the Lagos-area elasticity to differ; the latter is preferred on model-fit grounds (Section 6). The economic reading is that a DISCO already close to demand saturation in the country's largest and most developed commercial centre would be expected to show a flatter (though not necessarily weaker) relationship between further economic growth and additional electricity demand, since much of the connection between economic activity and grid demand may already have been made. Section 6 reports this comparison, and the confidence attached to the interaction term, directly.</w:t>
      </w:r>
    </w:p>
    <w:p w14:paraId="7103C58C" w14:textId="77777777" w:rsidR="007C54C8" w:rsidRDefault="007C54C8" w:rsidP="007C54C8">
      <w:pPr>
        <w:pStyle w:val="Heading2"/>
        <w:numPr>
          <w:ilvl w:val="0"/>
          <w:numId w:val="0"/>
        </w:numPr>
      </w:pPr>
      <w:r>
        <w:t>5.4 Estimation</w:t>
      </w:r>
    </w:p>
    <w:p w14:paraId="38BE7ECD" w14:textId="77777777" w:rsidR="007C54C8" w:rsidRDefault="007C54C8" w:rsidP="007C54C8">
      <w:r>
        <w:t xml:space="preserve">Because </w:t>
      </w:r>
      <m:oMath>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it</m:t>
            </m:r>
          </m:sub>
        </m:sSub>
        <m:r>
          <w:rPr>
            <w:rFonts w:ascii="Cambria Math" w:hAnsi="Cambria Math"/>
            <w:sz w:val="22"/>
            <w:szCs w:val="22"/>
          </w:rPr>
          <m:t xml:space="preserve"> and </m:t>
        </m:r>
        <m:sSub>
          <m:sSubPr>
            <m:ctrlPr>
              <w:rPr>
                <w:rFonts w:ascii="Cambria Math" w:hAnsi="Cambria Math"/>
                <w:i/>
                <w:sz w:val="22"/>
                <w:szCs w:val="22"/>
              </w:rPr>
            </m:ctrlPr>
          </m:sSubPr>
          <m:e>
            <m:r>
              <w:rPr>
                <w:rFonts w:ascii="Cambria Math" w:hAnsi="Cambria Math"/>
                <w:sz w:val="22"/>
                <w:szCs w:val="22"/>
              </w:rPr>
              <m:t>S</m:t>
            </m:r>
          </m:e>
          <m:sub>
            <m:r>
              <w:rPr>
                <w:rFonts w:ascii="Cambria Math" w:hAnsi="Cambria Math"/>
                <w:sz w:val="22"/>
                <w:szCs w:val="22"/>
              </w:rPr>
              <m:t>it</m:t>
            </m:r>
          </m:sub>
        </m:sSub>
      </m:oMath>
      <w:r>
        <w:rPr>
          <w:rFonts w:eastAsiaTheme="minorEastAsia"/>
          <w:sz w:val="22"/>
          <w:szCs w:val="22"/>
        </w:rPr>
        <w:t xml:space="preserve"> </w:t>
      </w:r>
      <w:r>
        <w:t xml:space="preserve">are independent and normal, the density of the observed minimum has a closed form. Writing </w:t>
      </w:r>
      <m:oMath>
        <m:sSub>
          <m:sSubPr>
            <m:ctrlPr>
              <w:rPr>
                <w:rFonts w:ascii="Cambria Math" w:hAnsi="Cambria Math"/>
                <w:i/>
              </w:rPr>
            </m:ctrlPr>
          </m:sSubPr>
          <m:e>
            <m:r>
              <w:rPr>
                <w:rFonts w:ascii="Cambria Math" w:hAnsi="Cambria Math"/>
              </w:rPr>
              <m:t>z</m:t>
            </m:r>
          </m:e>
          <m:sub>
            <m:r>
              <w:rPr>
                <w:rFonts w:ascii="Cambria Math" w:hAnsi="Cambria Math"/>
              </w:rPr>
              <m:t>1,it</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it</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z</m:t>
            </m:r>
          </m:e>
          <m:sub>
            <m:r>
              <w:rPr>
                <w:rFonts w:ascii="Cambria Math" w:hAnsi="Cambria Math"/>
              </w:rPr>
              <m:t>2,it</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it</m:t>
            </m:r>
          </m:sub>
        </m:sSub>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2</m:t>
            </m:r>
          </m:sub>
        </m:sSub>
      </m:oMath>
      <w:r>
        <w:t xml:space="preserve"> with </w:t>
      </w:r>
      <m:oMath>
        <m:r>
          <w:rPr>
            <w:rFonts w:ascii="Cambria Math" w:hAnsi="Cambria Math"/>
          </w:rPr>
          <m:t>∅</m:t>
        </m:r>
      </m:oMath>
      <w:r>
        <w:rPr>
          <w:rFonts w:eastAsiaTheme="minorEastAsia"/>
        </w:rPr>
        <w:t xml:space="preserve"> and</w:t>
      </w:r>
      <m:oMath>
        <m:r>
          <m:rPr>
            <m:sty m:val="p"/>
          </m:rPr>
          <w:rPr>
            <w:rFonts w:ascii="Cambria Math" w:eastAsiaTheme="minorEastAsia" w:hAnsi="Cambria Math"/>
          </w:rPr>
          <m:t>Φ</m:t>
        </m:r>
      </m:oMath>
      <w:r>
        <w:t xml:space="preserve"> the standard normal density and distribution functions:</w:t>
      </w:r>
    </w:p>
    <w:tbl>
      <w:tblPr>
        <w:tblStyle w:val="TableGrid"/>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76"/>
        <w:gridCol w:w="491"/>
      </w:tblGrid>
      <w:tr w:rsidR="00D97D32" w:rsidRPr="00DA061C" w14:paraId="154BD7F5" w14:textId="77777777" w:rsidTr="00A670A1">
        <w:tc>
          <w:tcPr>
            <w:tcW w:w="8576" w:type="dxa"/>
          </w:tcPr>
          <w:p w14:paraId="7F134A85" w14:textId="77777777" w:rsidR="00D97D32" w:rsidRPr="00DA061C" w:rsidRDefault="00000000" w:rsidP="00A670A1">
            <w:pPr>
              <w:rPr>
                <w:sz w:val="22"/>
                <w:szCs w:val="22"/>
              </w:rPr>
            </w:pPr>
            <m:oMathPara>
              <m:oMathParaPr>
                <m:jc m:val="center"/>
              </m:oMathParaPr>
              <m:oMath>
                <m:sSub>
                  <m:sSubPr>
                    <m:ctrlPr>
                      <w:rPr>
                        <w:rFonts w:ascii="Cambria Math" w:hAnsi="Cambria Math"/>
                        <w:i/>
                        <w:sz w:val="22"/>
                        <w:szCs w:val="22"/>
                      </w:rPr>
                    </m:ctrlPr>
                  </m:sSubPr>
                  <m:e>
                    <m:r>
                      <w:rPr>
                        <w:rFonts w:ascii="Cambria Math" w:hAnsi="Cambria Math"/>
                        <w:sz w:val="22"/>
                        <w:szCs w:val="22"/>
                      </w:rPr>
                      <m:t>f(Q</m:t>
                    </m:r>
                  </m:e>
                  <m:sub>
                    <m:r>
                      <w:rPr>
                        <w:rFonts w:ascii="Cambria Math" w:hAnsi="Cambria Math"/>
                        <w:sz w:val="22"/>
                        <w:szCs w:val="22"/>
                      </w:rPr>
                      <m:t>it</m:t>
                    </m:r>
                  </m:sub>
                </m:sSub>
                <m:r>
                  <w:rPr>
                    <w:rFonts w:ascii="Cambria Math" w:hAnsi="Cambria Math"/>
                    <w:sz w:val="22"/>
                    <w:szCs w:val="22"/>
                  </w:rPr>
                  <m:t xml:space="preserve">)= </m:t>
                </m:r>
                <m:f>
                  <m:fPr>
                    <m:ctrlPr>
                      <w:rPr>
                        <w:rFonts w:ascii="Cambria Math" w:hAnsi="Cambria Math"/>
                        <w:i/>
                        <w:sz w:val="22"/>
                        <w:szCs w:val="22"/>
                      </w:rPr>
                    </m:ctrlPr>
                  </m:fPr>
                  <m:num>
                    <m:r>
                      <w:rPr>
                        <w:rFonts w:ascii="Cambria Math" w:hAnsi="Cambria Math"/>
                        <w:sz w:val="22"/>
                        <w:szCs w:val="22"/>
                      </w:rPr>
                      <m:t>1</m:t>
                    </m:r>
                  </m:num>
                  <m:den>
                    <m:sSub>
                      <m:sSubPr>
                        <m:ctrlPr>
                          <w:rPr>
                            <w:rFonts w:ascii="Cambria Math" w:hAnsi="Cambria Math"/>
                            <w:i/>
                            <w:sz w:val="22"/>
                            <w:szCs w:val="22"/>
                          </w:rPr>
                        </m:ctrlPr>
                      </m:sSubPr>
                      <m:e>
                        <m:r>
                          <w:rPr>
                            <w:rFonts w:ascii="Cambria Math" w:hAnsi="Cambria Math"/>
                            <w:sz w:val="22"/>
                            <w:szCs w:val="22"/>
                          </w:rPr>
                          <m:t>σ</m:t>
                        </m:r>
                      </m:e>
                      <m:sub>
                        <m:r>
                          <w:rPr>
                            <w:rFonts w:ascii="Cambria Math" w:hAnsi="Cambria Math"/>
                            <w:sz w:val="22"/>
                            <w:szCs w:val="22"/>
                          </w:rPr>
                          <m:t>1</m:t>
                        </m:r>
                      </m:sub>
                    </m:sSub>
                  </m:den>
                </m:f>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1,it</m:t>
                        </m:r>
                      </m:sub>
                    </m:sSub>
                  </m:e>
                </m:d>
                <m:d>
                  <m:dPr>
                    <m:begChr m:val="["/>
                    <m:endChr m:val="]"/>
                    <m:ctrlPr>
                      <w:rPr>
                        <w:rFonts w:ascii="Cambria Math" w:hAnsi="Cambria Math"/>
                        <w:i/>
                      </w:rPr>
                    </m:ctrlPr>
                  </m:dPr>
                  <m:e>
                    <m:r>
                      <w:rPr>
                        <w:rFonts w:ascii="Cambria Math" w:hAnsi="Cambria Math"/>
                      </w:rPr>
                      <m:t>1-</m:t>
                    </m:r>
                    <m:r>
                      <m:rPr>
                        <m:sty m:val="p"/>
                      </m:rPr>
                      <w:rPr>
                        <w:rFonts w:ascii="Cambria Math" w:eastAsiaTheme="minorEastAsia" w:hAnsi="Cambria Math"/>
                      </w:rPr>
                      <m:t>Φ</m:t>
                    </m:r>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z</m:t>
                            </m:r>
                          </m:e>
                          <m:sub>
                            <m:r>
                              <w:rPr>
                                <w:rFonts w:ascii="Cambria Math" w:eastAsiaTheme="minorEastAsia" w:hAnsi="Cambria Math"/>
                              </w:rPr>
                              <m:t>2,it</m:t>
                            </m:r>
                          </m:sub>
                        </m:sSub>
                        <m:ctrlPr>
                          <w:rPr>
                            <w:rFonts w:ascii="Cambria Math" w:eastAsiaTheme="minorEastAsia" w:hAnsi="Cambria Math"/>
                            <w:i/>
                          </w:rPr>
                        </m:ctrlPr>
                      </m:e>
                    </m:d>
                    <m:ctrlPr>
                      <w:rPr>
                        <w:rFonts w:ascii="Cambria Math" w:eastAsiaTheme="minorEastAsia" w:hAnsi="Cambria Math"/>
                        <w:i/>
                      </w:rPr>
                    </m:ctrlPr>
                  </m:e>
                </m:d>
                <m:r>
                  <w:rPr>
                    <w:rFonts w:ascii="Cambria Math" w:eastAsiaTheme="minorEastAsia" w:hAnsi="Cambria Math"/>
                  </w:rPr>
                  <m:t xml:space="preserve">+ </m:t>
                </m:r>
                <m:f>
                  <m:fPr>
                    <m:ctrlPr>
                      <w:rPr>
                        <w:rFonts w:ascii="Cambria Math" w:hAnsi="Cambria Math"/>
                        <w:i/>
                        <w:sz w:val="22"/>
                        <w:szCs w:val="22"/>
                      </w:rPr>
                    </m:ctrlPr>
                  </m:fPr>
                  <m:num>
                    <m:r>
                      <w:rPr>
                        <w:rFonts w:ascii="Cambria Math" w:hAnsi="Cambria Math"/>
                        <w:sz w:val="22"/>
                        <w:szCs w:val="22"/>
                      </w:rPr>
                      <m:t>1</m:t>
                    </m:r>
                  </m:num>
                  <m:den>
                    <m:sSub>
                      <m:sSubPr>
                        <m:ctrlPr>
                          <w:rPr>
                            <w:rFonts w:ascii="Cambria Math" w:hAnsi="Cambria Math"/>
                            <w:i/>
                            <w:sz w:val="22"/>
                            <w:szCs w:val="22"/>
                          </w:rPr>
                        </m:ctrlPr>
                      </m:sSubPr>
                      <m:e>
                        <m:r>
                          <w:rPr>
                            <w:rFonts w:ascii="Cambria Math" w:hAnsi="Cambria Math"/>
                            <w:sz w:val="22"/>
                            <w:szCs w:val="22"/>
                          </w:rPr>
                          <m:t>σ</m:t>
                        </m:r>
                      </m:e>
                      <m:sub>
                        <m:r>
                          <w:rPr>
                            <w:rFonts w:ascii="Cambria Math" w:hAnsi="Cambria Math"/>
                            <w:sz w:val="22"/>
                            <w:szCs w:val="22"/>
                          </w:rPr>
                          <m:t>2</m:t>
                        </m:r>
                      </m:sub>
                    </m:sSub>
                  </m:den>
                </m:f>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2,it</m:t>
                        </m:r>
                      </m:sub>
                    </m:sSub>
                  </m:e>
                </m:d>
                <m:d>
                  <m:dPr>
                    <m:begChr m:val="["/>
                    <m:endChr m:val="]"/>
                    <m:ctrlPr>
                      <w:rPr>
                        <w:rFonts w:ascii="Cambria Math" w:hAnsi="Cambria Math"/>
                        <w:i/>
                      </w:rPr>
                    </m:ctrlPr>
                  </m:dPr>
                  <m:e>
                    <m:r>
                      <w:rPr>
                        <w:rFonts w:ascii="Cambria Math" w:hAnsi="Cambria Math"/>
                      </w:rPr>
                      <m:t>1-</m:t>
                    </m:r>
                    <m:r>
                      <m:rPr>
                        <m:sty m:val="p"/>
                      </m:rPr>
                      <w:rPr>
                        <w:rFonts w:ascii="Cambria Math" w:eastAsiaTheme="minorEastAsia" w:hAnsi="Cambria Math"/>
                      </w:rPr>
                      <m:t>Φ</m:t>
                    </m:r>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z</m:t>
                            </m:r>
                          </m:e>
                          <m:sub>
                            <m:r>
                              <w:rPr>
                                <w:rFonts w:ascii="Cambria Math" w:eastAsiaTheme="minorEastAsia" w:hAnsi="Cambria Math"/>
                              </w:rPr>
                              <m:t>1,it</m:t>
                            </m:r>
                          </m:sub>
                        </m:sSub>
                        <m:ctrlPr>
                          <w:rPr>
                            <w:rFonts w:ascii="Cambria Math" w:eastAsiaTheme="minorEastAsia" w:hAnsi="Cambria Math"/>
                            <w:i/>
                          </w:rPr>
                        </m:ctrlPr>
                      </m:e>
                    </m:d>
                    <m:ctrlPr>
                      <w:rPr>
                        <w:rFonts w:ascii="Cambria Math" w:eastAsiaTheme="minorEastAsia" w:hAnsi="Cambria Math"/>
                        <w:i/>
                      </w:rPr>
                    </m:ctrlPr>
                  </m:e>
                </m:d>
              </m:oMath>
            </m:oMathPara>
          </w:p>
        </w:tc>
        <w:tc>
          <w:tcPr>
            <w:tcW w:w="491" w:type="dxa"/>
          </w:tcPr>
          <w:p w14:paraId="221EDE88" w14:textId="77777777" w:rsidR="00D97D32" w:rsidRPr="00DA061C" w:rsidRDefault="00D97D32" w:rsidP="00A670A1">
            <w:pPr>
              <w:jc w:val="right"/>
              <w:rPr>
                <w:sz w:val="22"/>
                <w:szCs w:val="22"/>
              </w:rPr>
            </w:pPr>
            <w:r>
              <w:rPr>
                <w:sz w:val="22"/>
                <w:szCs w:val="22"/>
              </w:rPr>
              <w:t>1.4</w:t>
            </w:r>
          </w:p>
        </w:tc>
      </w:tr>
    </w:tbl>
    <w:p w14:paraId="19A88F99" w14:textId="77777777" w:rsidR="00FA54E6" w:rsidRDefault="00FA54E6" w:rsidP="00930399"/>
    <w:p w14:paraId="72999FE5" w14:textId="77777777" w:rsidR="00930399" w:rsidRPr="00AA11A5" w:rsidRDefault="00D97D32" w:rsidP="00930399">
      <w:r>
        <w:lastRenderedPageBreak/>
        <w:t xml:space="preserve">The first term is the likelihood contribution when </w:t>
      </w:r>
      <m:oMath>
        <m:sSub>
          <m:sSubPr>
            <m:ctrlPr>
              <w:rPr>
                <w:rFonts w:ascii="Cambria Math" w:hAnsi="Cambria Math"/>
                <w:i/>
                <w:sz w:val="22"/>
                <w:szCs w:val="22"/>
              </w:rPr>
            </m:ctrlPr>
          </m:sSubPr>
          <m:e>
            <m:r>
              <w:rPr>
                <w:rFonts w:ascii="Cambria Math" w:hAnsi="Cambria Math"/>
                <w:sz w:val="22"/>
                <w:szCs w:val="22"/>
              </w:rPr>
              <m:t>Q</m:t>
            </m:r>
          </m:e>
          <m:sub>
            <m:r>
              <w:rPr>
                <w:rFonts w:ascii="Cambria Math" w:hAnsi="Cambria Math"/>
                <w:sz w:val="22"/>
                <w:szCs w:val="22"/>
              </w:rPr>
              <m:t>it</m:t>
            </m:r>
          </m:sub>
        </m:sSub>
        <m:r>
          <w:rPr>
            <w:rFonts w:ascii="Cambria Math" w:hAnsi="Cambria Math"/>
            <w:sz w:val="22"/>
            <w:szCs w:val="22"/>
          </w:rPr>
          <m:t xml:space="preserve"> </m:t>
        </m:r>
      </m:oMath>
      <w:r>
        <w:t xml:space="preserve">equals demand and supply exceeds it; the second, when </w:t>
      </w:r>
      <m:oMath>
        <m:sSub>
          <m:sSubPr>
            <m:ctrlPr>
              <w:rPr>
                <w:rFonts w:ascii="Cambria Math" w:hAnsi="Cambria Math"/>
                <w:i/>
                <w:sz w:val="22"/>
                <w:szCs w:val="22"/>
              </w:rPr>
            </m:ctrlPr>
          </m:sSubPr>
          <m:e>
            <m:r>
              <w:rPr>
                <w:rFonts w:ascii="Cambria Math" w:hAnsi="Cambria Math"/>
                <w:sz w:val="22"/>
                <w:szCs w:val="22"/>
              </w:rPr>
              <m:t>Q</m:t>
            </m:r>
          </m:e>
          <m:sub>
            <m:r>
              <w:rPr>
                <w:rFonts w:ascii="Cambria Math" w:hAnsi="Cambria Math"/>
                <w:sz w:val="22"/>
                <w:szCs w:val="22"/>
              </w:rPr>
              <m:t>it</m:t>
            </m:r>
          </m:sub>
        </m:sSub>
        <m:r>
          <w:rPr>
            <w:rFonts w:ascii="Cambria Math" w:hAnsi="Cambria Math"/>
            <w:sz w:val="22"/>
            <w:szCs w:val="22"/>
          </w:rPr>
          <m:t xml:space="preserve"> </m:t>
        </m:r>
      </m:oMath>
      <w:r>
        <w:t xml:space="preserve">equals supply and demand exceeds it. The log-likelihood, summed over all 154 DISCO-quarters, is maximised jointly over </w:t>
      </w:r>
      <m:oMath>
        <m:r>
          <w:rPr>
            <w:rFonts w:ascii="Cambria Math" w:hAnsi="Cambria Math"/>
          </w:rPr>
          <m:t>(β,γ,</m:t>
        </m:r>
        <m:sSub>
          <m:sSubPr>
            <m:ctrlPr>
              <w:rPr>
                <w:rFonts w:ascii="Cambria Math" w:hAnsi="Cambria Math"/>
                <w:i/>
              </w:rPr>
            </m:ctrlPr>
          </m:sSubPr>
          <m:e>
            <m:r>
              <w:rPr>
                <w:rFonts w:ascii="Cambria Math" w:hAnsi="Cambria Math"/>
              </w:rPr>
              <m:t>σ</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2</m:t>
            </m:r>
          </m:sub>
        </m:sSub>
        <m:r>
          <w:rPr>
            <w:rFonts w:ascii="Cambria Math" w:hAnsi="Cambria Math"/>
          </w:rPr>
          <m:t>)</m:t>
        </m:r>
      </m:oMath>
      <w:r>
        <w:rPr>
          <w:rFonts w:eastAsiaTheme="minorEastAsia"/>
        </w:rPr>
        <w:t>.</w:t>
      </w:r>
    </w:p>
    <w:p w14:paraId="0A9800B1" w14:textId="77777777" w:rsidR="00D97D32" w:rsidRDefault="00D97D32" w:rsidP="00D97D32">
      <w:r>
        <w:t xml:space="preserve">This likelihood is not well behaved under naive numerical optimisation. Coefficients on regressors of very different scale (contracted capacity in the hundreds, seasonal terms near unity) distort a general-purpose optimiser's step sizes, and Maddala and Nelson's own multiple-maxima warning (Section 2.2) is not hypothetical for this model: independent runs from different starting points can converge to different, non-global optima. Three measures address this. Regressors are standardised before estimation and coefficients converted back to their original units afterward. The gradient of the log-likelihood is derived analytically rather than approximated numerically, and checked against a numerical gradient before use. Each specification is estimated from twelve independent starting points, and any run whose implied </w:t>
      </w:r>
      <m:oMath>
        <m:sSub>
          <m:sSubPr>
            <m:ctrlPr>
              <w:rPr>
                <w:rFonts w:ascii="Cambria Math" w:hAnsi="Cambria Math"/>
                <w:i/>
              </w:rPr>
            </m:ctrlPr>
          </m:sSubPr>
          <m:e>
            <m:r>
              <w:rPr>
                <w:rFonts w:ascii="Cambria Math" w:hAnsi="Cambria Math"/>
              </w:rPr>
              <m:t>σ</m:t>
            </m:r>
          </m:e>
          <m:sub>
            <m:r>
              <w:rPr>
                <w:rFonts w:ascii="Cambria Math" w:hAnsi="Cambria Math"/>
              </w:rPr>
              <m:t>1</m:t>
            </m:r>
          </m:sub>
        </m:sSub>
        <m:r>
          <w:rPr>
            <w:rFonts w:ascii="Cambria Math" w:hAnsi="Cambria Math"/>
          </w:rPr>
          <m:t xml:space="preserve"> or </m:t>
        </m:r>
        <m:sSub>
          <m:sSubPr>
            <m:ctrlPr>
              <w:rPr>
                <w:rFonts w:ascii="Cambria Math" w:hAnsi="Cambria Math"/>
                <w:i/>
              </w:rPr>
            </m:ctrlPr>
          </m:sSubPr>
          <m:e>
            <m:r>
              <w:rPr>
                <w:rFonts w:ascii="Cambria Math" w:hAnsi="Cambria Math"/>
              </w:rPr>
              <m:t>σ</m:t>
            </m:r>
          </m:e>
          <m:sub>
            <m:r>
              <w:rPr>
                <w:rFonts w:ascii="Cambria Math" w:hAnsi="Cambria Math"/>
              </w:rPr>
              <m:t>2</m:t>
            </m:r>
          </m:sub>
        </m:sSub>
        <m:r>
          <w:rPr>
            <w:rFonts w:ascii="Cambria Math" w:hAnsi="Cambria Math"/>
          </w:rPr>
          <m:t xml:space="preserve"> </m:t>
        </m:r>
      </m:oMath>
      <w:r>
        <w:t>collapses toward zero or diverges (a degenerate fit rather than a genuine optimum) is discarded; the reported estimate is the highest surviving log-likelihood, accepted only once multiple starting points converge to it independently.</w:t>
      </w:r>
    </w:p>
    <w:p w14:paraId="045F3A61" w14:textId="77777777" w:rsidR="00795F35" w:rsidRPr="00AA11A5" w:rsidRDefault="00D97D32" w:rsidP="00D97D32">
      <w:r>
        <w:t>Standard errors are computed from the numerical Hessian at the optimum, clustered by DISCO to account for repeated observations within each distribution company (Section 6).</w:t>
      </w:r>
    </w:p>
    <w:p w14:paraId="544F57EE" w14:textId="77777777" w:rsidR="00795F35" w:rsidRPr="00AA11A5" w:rsidRDefault="00795F35" w:rsidP="00705887"/>
    <w:p w14:paraId="02ED2440" w14:textId="77777777" w:rsidR="00795F35" w:rsidRPr="00AA11A5" w:rsidRDefault="00795F35" w:rsidP="00705887"/>
    <w:p w14:paraId="5E94561C" w14:textId="77777777" w:rsidR="00930399" w:rsidRDefault="00930399" w:rsidP="00705887"/>
    <w:p w14:paraId="7BB8461D" w14:textId="77777777" w:rsidR="00F328F5" w:rsidRDefault="00F328F5" w:rsidP="00705887"/>
    <w:p w14:paraId="6766C47D" w14:textId="77777777" w:rsidR="00F328F5" w:rsidRDefault="00F328F5" w:rsidP="00705887"/>
    <w:p w14:paraId="6C8CD649" w14:textId="77777777" w:rsidR="00F328F5" w:rsidRDefault="00F328F5" w:rsidP="00705887"/>
    <w:p w14:paraId="7205976B" w14:textId="77777777" w:rsidR="00F328F5" w:rsidRDefault="00F328F5" w:rsidP="00705887"/>
    <w:p w14:paraId="5B8EC919" w14:textId="77777777" w:rsidR="00F328F5" w:rsidRDefault="00F328F5" w:rsidP="00705887"/>
    <w:p w14:paraId="0FC5AD36" w14:textId="77777777" w:rsidR="00F328F5" w:rsidRDefault="00F328F5" w:rsidP="00705887"/>
    <w:p w14:paraId="2D929E06" w14:textId="77777777" w:rsidR="00F328F5" w:rsidRPr="00AA11A5" w:rsidRDefault="00F328F5" w:rsidP="00705887"/>
    <w:p w14:paraId="6CC528DD" w14:textId="77777777" w:rsidR="00DC3CB3" w:rsidRPr="00AA11A5" w:rsidRDefault="001F426E" w:rsidP="00930399">
      <w:pPr>
        <w:pStyle w:val="Heading2"/>
        <w:numPr>
          <w:ilvl w:val="0"/>
          <w:numId w:val="0"/>
        </w:numPr>
      </w:pPr>
      <w:bookmarkStart w:id="9" w:name="_Toc157591803"/>
      <w:bookmarkStart w:id="10" w:name="_Toc240994335"/>
      <w:r>
        <w:lastRenderedPageBreak/>
        <w:t xml:space="preserve">6.0 </w:t>
      </w:r>
      <w:bookmarkEnd w:id="9"/>
      <w:bookmarkEnd w:id="10"/>
      <w:r>
        <w:t>Results</w:t>
      </w:r>
    </w:p>
    <w:p w14:paraId="62BD9A92" w14:textId="77777777" w:rsidR="00930399" w:rsidRDefault="001F426E" w:rsidP="001F426E">
      <w:pPr>
        <w:pStyle w:val="Heading2"/>
        <w:numPr>
          <w:ilvl w:val="0"/>
          <w:numId w:val="0"/>
        </w:numPr>
      </w:pPr>
      <w:bookmarkStart w:id="11" w:name="_Toc240994336"/>
      <w:r>
        <w:t xml:space="preserve">6.1 </w:t>
      </w:r>
      <w:bookmarkEnd w:id="11"/>
      <w:r>
        <w:t>Demand Estimate</w:t>
      </w:r>
    </w:p>
    <w:p w14:paraId="1EDFCFA6" w14:textId="77777777" w:rsidR="004163BA" w:rsidRDefault="00000000">
      <w:pPr>
        <w:keepNext/>
        <w:spacing w:before="160" w:after="80"/>
      </w:pPr>
      <w:r>
        <w:rPr>
          <w:b/>
          <w:sz w:val="20"/>
          <w:szCs w:val="20"/>
        </w:rPr>
        <w:t>Table 3. Estimated demand, supply, and the suppressed-demand gap (panel averages).</w:t>
      </w:r>
    </w:p>
    <w:tbl>
      <w:tblPr>
        <w:tblStyle w:val="TableGrid"/>
        <w:tblW w:w="0" w:type="auto"/>
        <w:tblLook w:val="04A0" w:firstRow="1" w:lastRow="0" w:firstColumn="1" w:lastColumn="0" w:noHBand="0" w:noVBand="1"/>
      </w:tblPr>
      <w:tblGrid>
        <w:gridCol w:w="7650"/>
        <w:gridCol w:w="1366"/>
      </w:tblGrid>
      <w:tr w:rsidR="001F426E" w:rsidRPr="00DE3DCA" w14:paraId="335FC214" w14:textId="77777777" w:rsidTr="001F426E">
        <w:tc>
          <w:tcPr>
            <w:tcW w:w="7650" w:type="dxa"/>
          </w:tcPr>
          <w:p w14:paraId="0B2DC968" w14:textId="77777777" w:rsidR="001F426E" w:rsidRPr="00DE3DCA" w:rsidRDefault="001F426E" w:rsidP="00DE3DCA">
            <w:pPr>
              <w:spacing w:line="240" w:lineRule="auto"/>
              <w:rPr>
                <w:b/>
                <w:bCs/>
                <w:sz w:val="22"/>
                <w:szCs w:val="22"/>
                <w:lang w:eastAsia="en-GB"/>
              </w:rPr>
            </w:pPr>
            <w:r>
              <w:rPr>
                <w:b/>
                <w:bCs/>
                <w:sz w:val="22"/>
                <w:szCs w:val="22"/>
                <w:lang w:eastAsia="en-GB"/>
              </w:rPr>
              <w:t>Quantity</w:t>
            </w:r>
          </w:p>
        </w:tc>
        <w:tc>
          <w:tcPr>
            <w:tcW w:w="1366" w:type="dxa"/>
          </w:tcPr>
          <w:p w14:paraId="769453CC" w14:textId="77777777" w:rsidR="001F426E" w:rsidRPr="00DE3DCA" w:rsidRDefault="001F426E" w:rsidP="00DE3DCA">
            <w:pPr>
              <w:spacing w:line="240" w:lineRule="auto"/>
              <w:rPr>
                <w:b/>
                <w:bCs/>
                <w:sz w:val="22"/>
                <w:szCs w:val="22"/>
                <w:lang w:eastAsia="en-GB"/>
              </w:rPr>
            </w:pPr>
            <w:r>
              <w:rPr>
                <w:b/>
                <w:bCs/>
                <w:sz w:val="22"/>
                <w:szCs w:val="22"/>
                <w:lang w:eastAsia="en-GB"/>
              </w:rPr>
              <w:t>GW</w:t>
            </w:r>
          </w:p>
        </w:tc>
      </w:tr>
      <w:tr w:rsidR="001F426E" w:rsidRPr="00DE3DCA" w14:paraId="1EA3020A" w14:textId="77777777" w:rsidTr="001F426E">
        <w:tc>
          <w:tcPr>
            <w:tcW w:w="7650" w:type="dxa"/>
          </w:tcPr>
          <w:p w14:paraId="7BA5549A" w14:textId="77777777" w:rsidR="001F426E" w:rsidRPr="00DE3DCA" w:rsidRDefault="001F426E" w:rsidP="00DE3DCA">
            <w:pPr>
              <w:spacing w:line="240" w:lineRule="auto"/>
              <w:rPr>
                <w:sz w:val="22"/>
                <w:szCs w:val="22"/>
                <w:lang w:eastAsia="en-GB"/>
              </w:rPr>
            </w:pPr>
            <w:r>
              <w:rPr>
                <w:sz w:val="22"/>
                <w:szCs w:val="22"/>
                <w:lang w:eastAsia="en-GB"/>
              </w:rPr>
              <w:t>Observed Offtake</w:t>
            </w:r>
          </w:p>
        </w:tc>
        <w:tc>
          <w:tcPr>
            <w:tcW w:w="1366" w:type="dxa"/>
          </w:tcPr>
          <w:p w14:paraId="10AB81E6" w14:textId="77777777" w:rsidR="001F426E" w:rsidRPr="00DE3DCA" w:rsidRDefault="001F426E" w:rsidP="00DE3DCA">
            <w:pPr>
              <w:spacing w:line="240" w:lineRule="auto"/>
              <w:rPr>
                <w:sz w:val="22"/>
                <w:szCs w:val="22"/>
                <w:lang w:eastAsia="en-GB"/>
              </w:rPr>
            </w:pPr>
            <w:r>
              <w:rPr>
                <w:sz w:val="22"/>
                <w:szCs w:val="22"/>
                <w:lang w:eastAsia="en-GB"/>
              </w:rPr>
              <w:t>3.43</w:t>
            </w:r>
          </w:p>
        </w:tc>
      </w:tr>
      <w:tr w:rsidR="001F426E" w:rsidRPr="00DE3DCA" w14:paraId="4461939C" w14:textId="77777777" w:rsidTr="001F426E">
        <w:tc>
          <w:tcPr>
            <w:tcW w:w="7650" w:type="dxa"/>
          </w:tcPr>
          <w:p w14:paraId="6E91F6EC" w14:textId="77777777" w:rsidR="001F426E" w:rsidRPr="00DE3DCA" w:rsidRDefault="001F426E" w:rsidP="00DE3DCA">
            <w:pPr>
              <w:spacing w:line="240" w:lineRule="auto"/>
              <w:rPr>
                <w:sz w:val="22"/>
                <w:szCs w:val="22"/>
                <w:lang w:eastAsia="en-GB"/>
              </w:rPr>
            </w:pPr>
            <w:r>
              <w:rPr>
                <w:sz w:val="22"/>
                <w:szCs w:val="22"/>
                <w:lang w:eastAsia="en-GB"/>
              </w:rPr>
              <w:t>Estimated demand ceiling (</w:t>
            </w:r>
            <m:oMath>
              <m:acc>
                <m:accPr>
                  <m:ctrlPr>
                    <w:rPr>
                      <w:rFonts w:ascii="Cambria Math" w:hAnsi="Cambria Math"/>
                      <w:i/>
                      <w:sz w:val="22"/>
                      <w:szCs w:val="22"/>
                      <w:lang w:eastAsia="en-GB"/>
                    </w:rPr>
                  </m:ctrlPr>
                </m:accPr>
                <m:e>
                  <m:r>
                    <w:rPr>
                      <w:rFonts w:ascii="Cambria Math" w:hAnsi="Cambria Math"/>
                      <w:sz w:val="22"/>
                      <w:szCs w:val="22"/>
                      <w:lang w:eastAsia="en-GB"/>
                    </w:rPr>
                    <m:t>D</m:t>
                  </m:r>
                </m:e>
              </m:acc>
              <m:r>
                <w:rPr>
                  <w:rFonts w:ascii="Cambria Math" w:hAnsi="Cambria Math"/>
                  <w:sz w:val="22"/>
                  <w:szCs w:val="22"/>
                  <w:lang w:eastAsia="en-GB"/>
                </w:rPr>
                <m:t>, existing connected network</m:t>
              </m:r>
            </m:oMath>
            <w:r>
              <w:rPr>
                <w:sz w:val="22"/>
                <w:szCs w:val="22"/>
                <w:lang w:eastAsia="en-GB"/>
              </w:rPr>
              <w:t>)</w:t>
            </w:r>
          </w:p>
        </w:tc>
        <w:tc>
          <w:tcPr>
            <w:tcW w:w="1366" w:type="dxa"/>
          </w:tcPr>
          <w:p w14:paraId="70BAABE6" w14:textId="77777777" w:rsidR="001F426E" w:rsidRPr="00DE3DCA" w:rsidRDefault="001F426E" w:rsidP="00DE3DCA">
            <w:pPr>
              <w:spacing w:line="240" w:lineRule="auto"/>
              <w:rPr>
                <w:sz w:val="22"/>
                <w:szCs w:val="22"/>
                <w:lang w:eastAsia="en-GB"/>
              </w:rPr>
            </w:pPr>
            <w:r>
              <w:rPr>
                <w:sz w:val="22"/>
                <w:szCs w:val="22"/>
                <w:lang w:eastAsia="en-GB"/>
              </w:rPr>
              <w:t>5.34</w:t>
            </w:r>
          </w:p>
        </w:tc>
      </w:tr>
      <w:tr w:rsidR="001F426E" w:rsidRPr="00DE3DCA" w14:paraId="2783FEC4" w14:textId="77777777" w:rsidTr="001F426E">
        <w:tc>
          <w:tcPr>
            <w:tcW w:w="7650" w:type="dxa"/>
          </w:tcPr>
          <w:p w14:paraId="6E68A7A7" w14:textId="77777777" w:rsidR="001F426E" w:rsidRPr="00DE3DCA" w:rsidRDefault="001F426E" w:rsidP="00DE3DCA">
            <w:pPr>
              <w:spacing w:line="240" w:lineRule="auto"/>
              <w:rPr>
                <w:sz w:val="22"/>
                <w:szCs w:val="22"/>
                <w:lang w:eastAsia="en-GB"/>
              </w:rPr>
            </w:pPr>
            <w:r>
              <w:rPr>
                <w:sz w:val="22"/>
                <w:szCs w:val="22"/>
                <w:lang w:eastAsia="en-GB"/>
              </w:rPr>
              <w:t>Suppressed demand gap</w:t>
            </w:r>
          </w:p>
        </w:tc>
        <w:tc>
          <w:tcPr>
            <w:tcW w:w="1366" w:type="dxa"/>
          </w:tcPr>
          <w:p w14:paraId="3FF4A5A8" w14:textId="77777777" w:rsidR="001F426E" w:rsidRPr="00DE3DCA" w:rsidRDefault="001F426E" w:rsidP="00DE3DCA">
            <w:pPr>
              <w:spacing w:line="240" w:lineRule="auto"/>
              <w:rPr>
                <w:sz w:val="22"/>
                <w:szCs w:val="22"/>
                <w:lang w:eastAsia="en-GB"/>
              </w:rPr>
            </w:pPr>
            <w:r>
              <w:rPr>
                <w:sz w:val="22"/>
                <w:szCs w:val="22"/>
                <w:lang w:eastAsia="en-GB"/>
              </w:rPr>
              <w:t>1.91</w:t>
            </w:r>
          </w:p>
        </w:tc>
      </w:tr>
    </w:tbl>
    <w:p w14:paraId="0DD16BCA" w14:textId="77777777" w:rsidR="001F426E" w:rsidRDefault="00F328F5" w:rsidP="00705887">
      <w:pPr>
        <w:rPr>
          <w:lang w:eastAsia="en-GB"/>
        </w:rPr>
      </w:pPr>
      <w:r>
        <w:rPr>
          <w:lang w:eastAsia="en-GB"/>
        </w:rPr>
        <w:t>Averaged across the panel, Nigeria's eleven DISCOs drew 3.43 GW against an estimated demand ceiling of 5.34 GW, 56 per cent above what was delivered. The gap is not evenly distributed: only three DISCOs (Abuja, Eko, Ikeja) ever approach their fitted demand ceiling closely enough to be classified as demand-constrained, a pattern detailed in Section 6.4.</w:t>
      </w:r>
    </w:p>
    <w:p w14:paraId="3620DBE8" w14:textId="77777777" w:rsidR="001F426E" w:rsidRDefault="001F426E" w:rsidP="001F426E">
      <w:pPr>
        <w:pStyle w:val="Heading2"/>
        <w:numPr>
          <w:ilvl w:val="0"/>
          <w:numId w:val="0"/>
        </w:numPr>
      </w:pPr>
      <w:r>
        <w:t>6.2 Coefficient Estimates</w:t>
      </w:r>
    </w:p>
    <w:p w14:paraId="25A11D9D" w14:textId="77777777" w:rsidR="004163BA" w:rsidRDefault="00000000">
      <w:pPr>
        <w:keepNext/>
        <w:spacing w:before="160" w:after="80"/>
      </w:pPr>
      <w:r>
        <w:rPr>
          <w:b/>
          <w:sz w:val="20"/>
          <w:szCs w:val="20"/>
        </w:rPr>
        <w:t>Table 4. Demand equation coefficients, with cluster-robust standard errors.</w:t>
      </w:r>
    </w:p>
    <w:tbl>
      <w:tblPr>
        <w:tblStyle w:val="TableGrid"/>
        <w:tblW w:w="0" w:type="auto"/>
        <w:tblLook w:val="04A0" w:firstRow="1" w:lastRow="0" w:firstColumn="1" w:lastColumn="0" w:noHBand="0" w:noVBand="1"/>
      </w:tblPr>
      <w:tblGrid>
        <w:gridCol w:w="2405"/>
        <w:gridCol w:w="1701"/>
        <w:gridCol w:w="2126"/>
        <w:gridCol w:w="2784"/>
      </w:tblGrid>
      <w:tr w:rsidR="001F426E" w:rsidRPr="00DE3DCA" w14:paraId="101A4505" w14:textId="77777777" w:rsidTr="0067138C">
        <w:tc>
          <w:tcPr>
            <w:tcW w:w="2405" w:type="dxa"/>
          </w:tcPr>
          <w:p w14:paraId="30F9CAB5" w14:textId="77777777" w:rsidR="001F426E" w:rsidRPr="00DE3DCA" w:rsidRDefault="001F426E" w:rsidP="00DE3DCA">
            <w:pPr>
              <w:spacing w:line="240" w:lineRule="auto"/>
              <w:rPr>
                <w:b/>
                <w:bCs/>
                <w:sz w:val="22"/>
                <w:szCs w:val="22"/>
                <w:lang w:eastAsia="en-GB"/>
              </w:rPr>
            </w:pPr>
            <w:r>
              <w:rPr>
                <w:b/>
                <w:bCs/>
                <w:sz w:val="22"/>
                <w:szCs w:val="22"/>
                <w:lang w:eastAsia="en-GB"/>
              </w:rPr>
              <w:t>Variable</w:t>
            </w:r>
          </w:p>
        </w:tc>
        <w:tc>
          <w:tcPr>
            <w:tcW w:w="1701" w:type="dxa"/>
          </w:tcPr>
          <w:p w14:paraId="79E23DD8" w14:textId="77777777" w:rsidR="001F426E" w:rsidRPr="00DE3DCA" w:rsidRDefault="001F426E" w:rsidP="00DE3DCA">
            <w:pPr>
              <w:spacing w:line="240" w:lineRule="auto"/>
              <w:rPr>
                <w:b/>
                <w:bCs/>
                <w:sz w:val="22"/>
                <w:szCs w:val="22"/>
                <w:lang w:eastAsia="en-GB"/>
              </w:rPr>
            </w:pPr>
            <w:r>
              <w:rPr>
                <w:b/>
                <w:bCs/>
                <w:sz w:val="22"/>
                <w:szCs w:val="22"/>
                <w:lang w:eastAsia="en-GB"/>
              </w:rPr>
              <w:t>Coefficient</w:t>
            </w:r>
          </w:p>
        </w:tc>
        <w:tc>
          <w:tcPr>
            <w:tcW w:w="2126" w:type="dxa"/>
          </w:tcPr>
          <w:p w14:paraId="776B7B3B" w14:textId="77777777" w:rsidR="001F426E" w:rsidRPr="00DE3DCA" w:rsidRDefault="001F426E" w:rsidP="00DE3DCA">
            <w:pPr>
              <w:spacing w:line="240" w:lineRule="auto"/>
              <w:rPr>
                <w:b/>
                <w:bCs/>
                <w:sz w:val="22"/>
                <w:szCs w:val="22"/>
                <w:lang w:eastAsia="en-GB"/>
              </w:rPr>
            </w:pPr>
            <w:r>
              <w:rPr>
                <w:b/>
                <w:bCs/>
                <w:sz w:val="22"/>
                <w:szCs w:val="22"/>
                <w:lang w:eastAsia="en-GB"/>
              </w:rPr>
              <w:t>Cluster-robust SE</w:t>
            </w:r>
          </w:p>
        </w:tc>
        <w:tc>
          <w:tcPr>
            <w:tcW w:w="2784" w:type="dxa"/>
          </w:tcPr>
          <w:p w14:paraId="716378B2" w14:textId="77777777" w:rsidR="001F426E" w:rsidRPr="00DE3DCA" w:rsidRDefault="0067138C" w:rsidP="00DE3DCA">
            <w:pPr>
              <w:spacing w:line="240" w:lineRule="auto"/>
              <w:rPr>
                <w:b/>
                <w:bCs/>
                <w:sz w:val="22"/>
                <w:szCs w:val="22"/>
                <w:lang w:eastAsia="en-GB"/>
              </w:rPr>
            </w:pPr>
            <w:r>
              <w:rPr>
                <w:b/>
                <w:bCs/>
                <w:sz w:val="22"/>
                <w:szCs w:val="22"/>
                <w:lang w:eastAsia="en-GB"/>
              </w:rPr>
              <w:t>t</w:t>
            </w:r>
          </w:p>
        </w:tc>
      </w:tr>
      <w:tr w:rsidR="001F426E" w:rsidRPr="00DE3DCA" w14:paraId="5494FB94" w14:textId="77777777" w:rsidTr="0067138C">
        <w:tc>
          <w:tcPr>
            <w:tcW w:w="2405" w:type="dxa"/>
          </w:tcPr>
          <w:p w14:paraId="5AD68A23" w14:textId="77777777" w:rsidR="001F426E" w:rsidRPr="00DE3DCA" w:rsidRDefault="001F426E" w:rsidP="00DE3DCA">
            <w:pPr>
              <w:spacing w:line="240" w:lineRule="auto"/>
              <w:rPr>
                <w:sz w:val="22"/>
                <w:szCs w:val="22"/>
                <w:lang w:eastAsia="en-GB"/>
              </w:rPr>
            </w:pPr>
            <w:r>
              <w:rPr>
                <w:sz w:val="22"/>
                <w:szCs w:val="22"/>
                <w:lang w:eastAsia="en-GB"/>
              </w:rPr>
              <w:t>Intercept</w:t>
            </w:r>
          </w:p>
        </w:tc>
        <w:tc>
          <w:tcPr>
            <w:tcW w:w="1701" w:type="dxa"/>
          </w:tcPr>
          <w:p w14:paraId="737E38D4" w14:textId="77777777" w:rsidR="001F426E" w:rsidRPr="00DE3DCA" w:rsidRDefault="0067138C" w:rsidP="00DE3DCA">
            <w:pPr>
              <w:tabs>
                <w:tab w:val="left" w:pos="905"/>
              </w:tabs>
              <w:spacing w:line="240" w:lineRule="auto"/>
              <w:rPr>
                <w:sz w:val="22"/>
                <w:szCs w:val="22"/>
                <w:lang w:eastAsia="en-GB"/>
              </w:rPr>
            </w:pPr>
            <w:r>
              <w:rPr>
                <w:sz w:val="22"/>
                <w:szCs w:val="22"/>
                <w:lang w:eastAsia="en-GB"/>
              </w:rPr>
              <w:t>-3994.42</w:t>
            </w:r>
          </w:p>
        </w:tc>
        <w:tc>
          <w:tcPr>
            <w:tcW w:w="2126" w:type="dxa"/>
          </w:tcPr>
          <w:p w14:paraId="4C570E3B" w14:textId="77777777" w:rsidR="001F426E" w:rsidRPr="00DE3DCA" w:rsidRDefault="0067138C" w:rsidP="00DE3DCA">
            <w:pPr>
              <w:spacing w:line="240" w:lineRule="auto"/>
              <w:rPr>
                <w:sz w:val="22"/>
                <w:szCs w:val="22"/>
                <w:lang w:eastAsia="en-GB"/>
              </w:rPr>
            </w:pPr>
            <w:r>
              <w:rPr>
                <w:sz w:val="22"/>
                <w:szCs w:val="22"/>
                <w:lang w:eastAsia="en-GB"/>
              </w:rPr>
              <w:t>6.76</w:t>
            </w:r>
          </w:p>
        </w:tc>
        <w:tc>
          <w:tcPr>
            <w:tcW w:w="2784" w:type="dxa"/>
          </w:tcPr>
          <w:p w14:paraId="42C9D8F5" w14:textId="77777777" w:rsidR="001F426E" w:rsidRPr="00DE3DCA" w:rsidRDefault="0067138C" w:rsidP="00DE3DCA">
            <w:pPr>
              <w:spacing w:line="240" w:lineRule="auto"/>
              <w:rPr>
                <w:sz w:val="22"/>
                <w:szCs w:val="22"/>
                <w:lang w:eastAsia="en-GB"/>
              </w:rPr>
            </w:pPr>
            <w:r>
              <w:rPr>
                <w:sz w:val="22"/>
                <w:szCs w:val="22"/>
                <w:lang w:eastAsia="en-GB"/>
              </w:rPr>
              <w:t>-590.60</w:t>
            </w:r>
          </w:p>
        </w:tc>
      </w:tr>
      <w:tr w:rsidR="001F426E" w:rsidRPr="00DE3DCA" w14:paraId="69EF8288" w14:textId="77777777" w:rsidTr="0067138C">
        <w:tc>
          <w:tcPr>
            <w:tcW w:w="2405" w:type="dxa"/>
          </w:tcPr>
          <w:p w14:paraId="72844F07" w14:textId="77777777" w:rsidR="001F426E" w:rsidRPr="00DE3DCA" w:rsidRDefault="001F426E" w:rsidP="00DE3DCA">
            <w:pPr>
              <w:spacing w:line="240" w:lineRule="auto"/>
              <w:rPr>
                <w:sz w:val="22"/>
                <w:szCs w:val="22"/>
                <w:lang w:eastAsia="en-GB"/>
              </w:rPr>
            </w:pPr>
            <w:r>
              <w:rPr>
                <w:sz w:val="22"/>
                <w:szCs w:val="22"/>
                <w:lang w:eastAsia="en-GB"/>
              </w:rPr>
              <w:t>ln(IGR)</w:t>
            </w:r>
          </w:p>
        </w:tc>
        <w:tc>
          <w:tcPr>
            <w:tcW w:w="1701" w:type="dxa"/>
          </w:tcPr>
          <w:p w14:paraId="58D8BFD2" w14:textId="77777777" w:rsidR="001F426E" w:rsidRPr="00DE3DCA" w:rsidRDefault="0067138C" w:rsidP="00DE3DCA">
            <w:pPr>
              <w:spacing w:line="240" w:lineRule="auto"/>
              <w:rPr>
                <w:sz w:val="22"/>
                <w:szCs w:val="22"/>
                <w:lang w:eastAsia="en-GB"/>
              </w:rPr>
            </w:pPr>
            <w:r>
              <w:rPr>
                <w:sz w:val="22"/>
                <w:szCs w:val="22"/>
                <w:lang w:eastAsia="en-GB"/>
              </w:rPr>
              <w:t>173.05</w:t>
            </w:r>
          </w:p>
        </w:tc>
        <w:tc>
          <w:tcPr>
            <w:tcW w:w="2126" w:type="dxa"/>
          </w:tcPr>
          <w:p w14:paraId="0E43B3EF" w14:textId="77777777" w:rsidR="001F426E" w:rsidRPr="00DE3DCA" w:rsidRDefault="0067138C" w:rsidP="00DE3DCA">
            <w:pPr>
              <w:spacing w:line="240" w:lineRule="auto"/>
              <w:rPr>
                <w:sz w:val="22"/>
                <w:szCs w:val="22"/>
                <w:lang w:eastAsia="en-GB"/>
              </w:rPr>
            </w:pPr>
            <w:r>
              <w:rPr>
                <w:sz w:val="22"/>
                <w:szCs w:val="22"/>
                <w:lang w:eastAsia="en-GB"/>
              </w:rPr>
              <w:t>4.08</w:t>
            </w:r>
          </w:p>
        </w:tc>
        <w:tc>
          <w:tcPr>
            <w:tcW w:w="2784" w:type="dxa"/>
          </w:tcPr>
          <w:p w14:paraId="565A86BA" w14:textId="77777777" w:rsidR="001F426E" w:rsidRPr="00DE3DCA" w:rsidRDefault="0067138C" w:rsidP="00DE3DCA">
            <w:pPr>
              <w:spacing w:line="240" w:lineRule="auto"/>
              <w:rPr>
                <w:sz w:val="22"/>
                <w:szCs w:val="22"/>
                <w:lang w:eastAsia="en-GB"/>
              </w:rPr>
            </w:pPr>
            <w:r>
              <w:rPr>
                <w:sz w:val="22"/>
                <w:szCs w:val="22"/>
                <w:lang w:eastAsia="en-GB"/>
              </w:rPr>
              <w:t>42.39</w:t>
            </w:r>
          </w:p>
        </w:tc>
      </w:tr>
      <w:tr w:rsidR="001F426E" w:rsidRPr="00DE3DCA" w14:paraId="12E86959" w14:textId="77777777" w:rsidTr="0067138C">
        <w:tc>
          <w:tcPr>
            <w:tcW w:w="2405" w:type="dxa"/>
          </w:tcPr>
          <w:p w14:paraId="246F8A01" w14:textId="77777777" w:rsidR="001F426E" w:rsidRPr="00DE3DCA" w:rsidRDefault="001F426E" w:rsidP="00DE3DCA">
            <w:pPr>
              <w:spacing w:line="240" w:lineRule="auto"/>
              <w:rPr>
                <w:sz w:val="22"/>
                <w:szCs w:val="22"/>
                <w:lang w:eastAsia="en-GB"/>
              </w:rPr>
            </w:pPr>
            <w:r>
              <w:rPr>
                <w:sz w:val="22"/>
                <w:szCs w:val="22"/>
                <w:lang w:eastAsia="en-GB"/>
              </w:rPr>
              <w:t>ln(IGR) X Lagos</w:t>
            </w:r>
          </w:p>
        </w:tc>
        <w:tc>
          <w:tcPr>
            <w:tcW w:w="1701" w:type="dxa"/>
          </w:tcPr>
          <w:p w14:paraId="660DFFBC" w14:textId="77777777" w:rsidR="001F426E" w:rsidRPr="00DE3DCA" w:rsidRDefault="0067138C" w:rsidP="00DE3DCA">
            <w:pPr>
              <w:spacing w:line="240" w:lineRule="auto"/>
              <w:rPr>
                <w:sz w:val="22"/>
                <w:szCs w:val="22"/>
                <w:lang w:eastAsia="en-GB"/>
              </w:rPr>
            </w:pPr>
            <w:r>
              <w:rPr>
                <w:sz w:val="22"/>
                <w:szCs w:val="22"/>
                <w:lang w:eastAsia="en-GB"/>
              </w:rPr>
              <w:t>-2.90</w:t>
            </w:r>
          </w:p>
        </w:tc>
        <w:tc>
          <w:tcPr>
            <w:tcW w:w="2126" w:type="dxa"/>
          </w:tcPr>
          <w:p w14:paraId="4218B20D" w14:textId="77777777" w:rsidR="001F426E" w:rsidRPr="00DE3DCA" w:rsidRDefault="0067138C" w:rsidP="00DE3DCA">
            <w:pPr>
              <w:spacing w:line="240" w:lineRule="auto"/>
              <w:rPr>
                <w:sz w:val="22"/>
                <w:szCs w:val="22"/>
                <w:lang w:eastAsia="en-GB"/>
              </w:rPr>
            </w:pPr>
            <w:r>
              <w:rPr>
                <w:sz w:val="22"/>
                <w:szCs w:val="22"/>
                <w:lang w:eastAsia="en-GB"/>
              </w:rPr>
              <w:t>0.11</w:t>
            </w:r>
          </w:p>
        </w:tc>
        <w:tc>
          <w:tcPr>
            <w:tcW w:w="2784" w:type="dxa"/>
          </w:tcPr>
          <w:p w14:paraId="487385FF" w14:textId="77777777" w:rsidR="001F426E" w:rsidRPr="00DE3DCA" w:rsidRDefault="0067138C" w:rsidP="00DE3DCA">
            <w:pPr>
              <w:spacing w:line="240" w:lineRule="auto"/>
              <w:rPr>
                <w:sz w:val="22"/>
                <w:szCs w:val="22"/>
                <w:lang w:eastAsia="en-GB"/>
              </w:rPr>
            </w:pPr>
            <w:r>
              <w:rPr>
                <w:sz w:val="22"/>
                <w:szCs w:val="22"/>
                <w:lang w:eastAsia="en-GB"/>
              </w:rPr>
              <w:t>-25.85</w:t>
            </w:r>
          </w:p>
        </w:tc>
      </w:tr>
      <w:tr w:rsidR="001F426E" w:rsidRPr="00DE3DCA" w14:paraId="4F7E0FE8" w14:textId="77777777" w:rsidTr="0067138C">
        <w:tc>
          <w:tcPr>
            <w:tcW w:w="2405" w:type="dxa"/>
          </w:tcPr>
          <w:p w14:paraId="791E2969" w14:textId="77777777" w:rsidR="001F426E" w:rsidRPr="00DE3DCA" w:rsidRDefault="001F426E" w:rsidP="00DE3DCA">
            <w:pPr>
              <w:spacing w:line="240" w:lineRule="auto"/>
              <w:rPr>
                <w:sz w:val="22"/>
                <w:szCs w:val="22"/>
                <w:lang w:eastAsia="en-GB"/>
              </w:rPr>
            </w:pPr>
            <w:r>
              <w:rPr>
                <w:sz w:val="22"/>
                <w:szCs w:val="22"/>
                <w:lang w:eastAsia="en-GB"/>
              </w:rPr>
              <w:t>cos(</w:t>
            </w:r>
            <m:oMath>
              <m:f>
                <m:fPr>
                  <m:type m:val="lin"/>
                  <m:ctrlPr>
                    <w:rPr>
                      <w:rFonts w:ascii="Cambria Math" w:hAnsi="Cambria Math"/>
                      <w:i/>
                      <w:sz w:val="22"/>
                      <w:szCs w:val="22"/>
                      <w:lang w:eastAsia="en-GB"/>
                    </w:rPr>
                  </m:ctrlPr>
                </m:fPr>
                <m:num>
                  <m:r>
                    <w:rPr>
                      <w:rFonts w:ascii="Cambria Math" w:hAnsi="Cambria Math"/>
                      <w:sz w:val="22"/>
                      <w:szCs w:val="22"/>
                      <w:lang w:eastAsia="en-GB"/>
                    </w:rPr>
                    <m:t>2πq</m:t>
                  </m:r>
                </m:num>
                <m:den>
                  <m:r>
                    <w:rPr>
                      <w:rFonts w:ascii="Cambria Math" w:hAnsi="Cambria Math"/>
                      <w:sz w:val="22"/>
                      <w:szCs w:val="22"/>
                      <w:lang w:eastAsia="en-GB"/>
                    </w:rPr>
                    <m:t>4</m:t>
                  </m:r>
                </m:den>
              </m:f>
            </m:oMath>
            <w:r>
              <w:rPr>
                <w:sz w:val="22"/>
                <w:szCs w:val="22"/>
                <w:lang w:eastAsia="en-GB"/>
              </w:rPr>
              <w:t>)</w:t>
            </w:r>
          </w:p>
        </w:tc>
        <w:tc>
          <w:tcPr>
            <w:tcW w:w="1701" w:type="dxa"/>
          </w:tcPr>
          <w:p w14:paraId="1527962F" w14:textId="77777777" w:rsidR="001F426E" w:rsidRPr="00DE3DCA" w:rsidRDefault="0067138C" w:rsidP="00DE3DCA">
            <w:pPr>
              <w:spacing w:line="240" w:lineRule="auto"/>
              <w:rPr>
                <w:sz w:val="22"/>
                <w:szCs w:val="22"/>
                <w:lang w:eastAsia="en-GB"/>
              </w:rPr>
            </w:pPr>
            <w:r>
              <w:rPr>
                <w:sz w:val="22"/>
                <w:szCs w:val="22"/>
                <w:lang w:eastAsia="en-GB"/>
              </w:rPr>
              <w:t>17.47</w:t>
            </w:r>
          </w:p>
        </w:tc>
        <w:tc>
          <w:tcPr>
            <w:tcW w:w="2126" w:type="dxa"/>
          </w:tcPr>
          <w:p w14:paraId="2AB9586D" w14:textId="77777777" w:rsidR="001F426E" w:rsidRPr="00DE3DCA" w:rsidRDefault="0067138C" w:rsidP="00DE3DCA">
            <w:pPr>
              <w:spacing w:line="240" w:lineRule="auto"/>
              <w:rPr>
                <w:sz w:val="22"/>
                <w:szCs w:val="22"/>
                <w:lang w:eastAsia="en-GB"/>
              </w:rPr>
            </w:pPr>
            <w:r>
              <w:rPr>
                <w:sz w:val="22"/>
                <w:szCs w:val="22"/>
                <w:lang w:eastAsia="en-GB"/>
              </w:rPr>
              <w:t>1.15</w:t>
            </w:r>
          </w:p>
        </w:tc>
        <w:tc>
          <w:tcPr>
            <w:tcW w:w="2784" w:type="dxa"/>
          </w:tcPr>
          <w:p w14:paraId="23820ECA" w14:textId="77777777" w:rsidR="001F426E" w:rsidRPr="00DE3DCA" w:rsidRDefault="0067138C" w:rsidP="00DE3DCA">
            <w:pPr>
              <w:spacing w:line="240" w:lineRule="auto"/>
              <w:rPr>
                <w:sz w:val="22"/>
                <w:szCs w:val="22"/>
                <w:lang w:eastAsia="en-GB"/>
              </w:rPr>
            </w:pPr>
            <w:r>
              <w:rPr>
                <w:sz w:val="22"/>
                <w:szCs w:val="22"/>
                <w:lang w:eastAsia="en-GB"/>
              </w:rPr>
              <w:t>15.22</w:t>
            </w:r>
          </w:p>
        </w:tc>
      </w:tr>
      <w:tr w:rsidR="001F426E" w:rsidRPr="00DE3DCA" w14:paraId="7318EF5D" w14:textId="77777777" w:rsidTr="0067138C">
        <w:tc>
          <w:tcPr>
            <w:tcW w:w="2405" w:type="dxa"/>
          </w:tcPr>
          <w:p w14:paraId="32351DC9" w14:textId="77777777" w:rsidR="001F426E" w:rsidRPr="00DE3DCA" w:rsidRDefault="001F426E" w:rsidP="00DE3DCA">
            <w:pPr>
              <w:spacing w:line="240" w:lineRule="auto"/>
              <w:rPr>
                <w:sz w:val="22"/>
                <w:szCs w:val="22"/>
                <w:lang w:eastAsia="en-GB"/>
              </w:rPr>
            </w:pPr>
            <w:r>
              <w:rPr>
                <w:sz w:val="22"/>
                <w:szCs w:val="22"/>
                <w:lang w:eastAsia="en-GB"/>
              </w:rPr>
              <w:t>sin(</w:t>
            </w:r>
            <m:oMath>
              <m:f>
                <m:fPr>
                  <m:type m:val="lin"/>
                  <m:ctrlPr>
                    <w:rPr>
                      <w:rFonts w:ascii="Cambria Math" w:hAnsi="Cambria Math"/>
                      <w:i/>
                      <w:sz w:val="22"/>
                      <w:szCs w:val="22"/>
                      <w:lang w:eastAsia="en-GB"/>
                    </w:rPr>
                  </m:ctrlPr>
                </m:fPr>
                <m:num>
                  <m:r>
                    <w:rPr>
                      <w:rFonts w:ascii="Cambria Math" w:hAnsi="Cambria Math"/>
                      <w:sz w:val="22"/>
                      <w:szCs w:val="22"/>
                      <w:lang w:eastAsia="en-GB"/>
                    </w:rPr>
                    <m:t>2πq</m:t>
                  </m:r>
                </m:num>
                <m:den>
                  <m:r>
                    <w:rPr>
                      <w:rFonts w:ascii="Cambria Math" w:hAnsi="Cambria Math"/>
                      <w:sz w:val="22"/>
                      <w:szCs w:val="22"/>
                      <w:lang w:eastAsia="en-GB"/>
                    </w:rPr>
                    <m:t>4</m:t>
                  </m:r>
                </m:den>
              </m:f>
            </m:oMath>
            <w:r>
              <w:rPr>
                <w:sz w:val="22"/>
                <w:szCs w:val="22"/>
                <w:lang w:eastAsia="en-GB"/>
              </w:rPr>
              <w:t>)</w:t>
            </w:r>
          </w:p>
        </w:tc>
        <w:tc>
          <w:tcPr>
            <w:tcW w:w="1701" w:type="dxa"/>
          </w:tcPr>
          <w:p w14:paraId="3AC46E14" w14:textId="77777777" w:rsidR="001F426E" w:rsidRPr="00DE3DCA" w:rsidRDefault="0067138C" w:rsidP="00DE3DCA">
            <w:pPr>
              <w:spacing w:line="240" w:lineRule="auto"/>
              <w:rPr>
                <w:sz w:val="22"/>
                <w:szCs w:val="22"/>
                <w:lang w:eastAsia="en-GB"/>
              </w:rPr>
            </w:pPr>
            <w:r>
              <w:rPr>
                <w:sz w:val="22"/>
                <w:szCs w:val="22"/>
                <w:lang w:eastAsia="en-GB"/>
              </w:rPr>
              <w:t>74.43</w:t>
            </w:r>
          </w:p>
        </w:tc>
        <w:tc>
          <w:tcPr>
            <w:tcW w:w="2126" w:type="dxa"/>
          </w:tcPr>
          <w:p w14:paraId="1CBFC8BD" w14:textId="77777777" w:rsidR="001F426E" w:rsidRPr="00DE3DCA" w:rsidRDefault="0067138C" w:rsidP="00DE3DCA">
            <w:pPr>
              <w:spacing w:line="240" w:lineRule="auto"/>
              <w:rPr>
                <w:sz w:val="22"/>
                <w:szCs w:val="22"/>
                <w:lang w:eastAsia="en-GB"/>
              </w:rPr>
            </w:pPr>
            <w:r>
              <w:rPr>
                <w:sz w:val="22"/>
                <w:szCs w:val="22"/>
                <w:lang w:eastAsia="en-GB"/>
              </w:rPr>
              <w:t>6.11</w:t>
            </w:r>
          </w:p>
        </w:tc>
        <w:tc>
          <w:tcPr>
            <w:tcW w:w="2784" w:type="dxa"/>
          </w:tcPr>
          <w:p w14:paraId="0484BB7A" w14:textId="77777777" w:rsidR="001F426E" w:rsidRPr="00DE3DCA" w:rsidRDefault="0067138C" w:rsidP="00DE3DCA">
            <w:pPr>
              <w:spacing w:line="240" w:lineRule="auto"/>
              <w:rPr>
                <w:sz w:val="22"/>
                <w:szCs w:val="22"/>
                <w:lang w:eastAsia="en-GB"/>
              </w:rPr>
            </w:pPr>
            <w:r>
              <w:rPr>
                <w:sz w:val="22"/>
                <w:szCs w:val="22"/>
                <w:lang w:eastAsia="en-GB"/>
              </w:rPr>
              <w:t>12.18</w:t>
            </w:r>
          </w:p>
        </w:tc>
      </w:tr>
    </w:tbl>
    <w:p w14:paraId="1EA3BDE5" w14:textId="77777777" w:rsidR="004D750E" w:rsidRDefault="004D750E" w:rsidP="00705887">
      <w:pPr>
        <w:rPr>
          <w:lang w:eastAsia="en-GB"/>
        </w:rPr>
      </w:pPr>
    </w:p>
    <w:p w14:paraId="0AB8BE74" w14:textId="77777777" w:rsidR="004163BA" w:rsidRDefault="00000000">
      <w:pPr>
        <w:keepNext/>
        <w:spacing w:before="160" w:after="80"/>
      </w:pPr>
      <w:r>
        <w:rPr>
          <w:b/>
          <w:sz w:val="20"/>
          <w:szCs w:val="20"/>
        </w:rPr>
        <w:lastRenderedPageBreak/>
        <w:t>Table 5. Supply equation coefficients, with cluster-robust standard errors.</w:t>
      </w:r>
    </w:p>
    <w:tbl>
      <w:tblPr>
        <w:tblStyle w:val="TableGrid"/>
        <w:tblW w:w="0" w:type="auto"/>
        <w:tblLook w:val="04A0" w:firstRow="1" w:lastRow="0" w:firstColumn="1" w:lastColumn="0" w:noHBand="0" w:noVBand="1"/>
      </w:tblPr>
      <w:tblGrid>
        <w:gridCol w:w="2405"/>
        <w:gridCol w:w="1701"/>
        <w:gridCol w:w="2126"/>
        <w:gridCol w:w="2784"/>
      </w:tblGrid>
      <w:tr w:rsidR="0067138C" w:rsidRPr="00DE3DCA" w14:paraId="26D953A2" w14:textId="77777777" w:rsidTr="00A670A1">
        <w:tc>
          <w:tcPr>
            <w:tcW w:w="2405" w:type="dxa"/>
          </w:tcPr>
          <w:p w14:paraId="6C6F2DD2" w14:textId="77777777" w:rsidR="0067138C" w:rsidRPr="00DE3DCA" w:rsidRDefault="0067138C" w:rsidP="00DE3DCA">
            <w:pPr>
              <w:spacing w:line="240" w:lineRule="auto"/>
              <w:rPr>
                <w:b/>
                <w:bCs/>
                <w:sz w:val="22"/>
                <w:szCs w:val="22"/>
                <w:lang w:eastAsia="en-GB"/>
              </w:rPr>
            </w:pPr>
            <w:r>
              <w:rPr>
                <w:b/>
                <w:bCs/>
                <w:sz w:val="22"/>
                <w:szCs w:val="22"/>
                <w:lang w:eastAsia="en-GB"/>
              </w:rPr>
              <w:t>Variable</w:t>
            </w:r>
          </w:p>
        </w:tc>
        <w:tc>
          <w:tcPr>
            <w:tcW w:w="1701" w:type="dxa"/>
          </w:tcPr>
          <w:p w14:paraId="003DCEA6" w14:textId="77777777" w:rsidR="0067138C" w:rsidRPr="00DE3DCA" w:rsidRDefault="0067138C" w:rsidP="00DE3DCA">
            <w:pPr>
              <w:spacing w:line="240" w:lineRule="auto"/>
              <w:rPr>
                <w:b/>
                <w:bCs/>
                <w:sz w:val="22"/>
                <w:szCs w:val="22"/>
                <w:lang w:eastAsia="en-GB"/>
              </w:rPr>
            </w:pPr>
            <w:r>
              <w:rPr>
                <w:b/>
                <w:bCs/>
                <w:sz w:val="22"/>
                <w:szCs w:val="22"/>
                <w:lang w:eastAsia="en-GB"/>
              </w:rPr>
              <w:t>Coefficient</w:t>
            </w:r>
          </w:p>
        </w:tc>
        <w:tc>
          <w:tcPr>
            <w:tcW w:w="2126" w:type="dxa"/>
          </w:tcPr>
          <w:p w14:paraId="5E2D656F" w14:textId="77777777" w:rsidR="0067138C" w:rsidRPr="00DE3DCA" w:rsidRDefault="0067138C" w:rsidP="00DE3DCA">
            <w:pPr>
              <w:spacing w:line="240" w:lineRule="auto"/>
              <w:rPr>
                <w:b/>
                <w:bCs/>
                <w:sz w:val="22"/>
                <w:szCs w:val="22"/>
                <w:lang w:eastAsia="en-GB"/>
              </w:rPr>
            </w:pPr>
            <w:r>
              <w:rPr>
                <w:b/>
                <w:bCs/>
                <w:sz w:val="22"/>
                <w:szCs w:val="22"/>
                <w:lang w:eastAsia="en-GB"/>
              </w:rPr>
              <w:t>Cluster-robust SE</w:t>
            </w:r>
          </w:p>
        </w:tc>
        <w:tc>
          <w:tcPr>
            <w:tcW w:w="2784" w:type="dxa"/>
          </w:tcPr>
          <w:p w14:paraId="0E9936D5" w14:textId="77777777" w:rsidR="0067138C" w:rsidRPr="00DE3DCA" w:rsidRDefault="0067138C" w:rsidP="00DE3DCA">
            <w:pPr>
              <w:spacing w:line="240" w:lineRule="auto"/>
              <w:rPr>
                <w:b/>
                <w:bCs/>
                <w:sz w:val="22"/>
                <w:szCs w:val="22"/>
                <w:lang w:eastAsia="en-GB"/>
              </w:rPr>
            </w:pPr>
            <w:r>
              <w:rPr>
                <w:b/>
                <w:bCs/>
                <w:sz w:val="22"/>
                <w:szCs w:val="22"/>
                <w:lang w:eastAsia="en-GB"/>
              </w:rPr>
              <w:t>t</w:t>
            </w:r>
          </w:p>
        </w:tc>
      </w:tr>
      <w:tr w:rsidR="0067138C" w:rsidRPr="00DE3DCA" w14:paraId="3CB9FD33" w14:textId="77777777" w:rsidTr="00A670A1">
        <w:tc>
          <w:tcPr>
            <w:tcW w:w="2405" w:type="dxa"/>
          </w:tcPr>
          <w:p w14:paraId="7A6A47EA" w14:textId="77777777" w:rsidR="0067138C" w:rsidRPr="00DE3DCA" w:rsidRDefault="0067138C" w:rsidP="00DE3DCA">
            <w:pPr>
              <w:spacing w:line="240" w:lineRule="auto"/>
              <w:rPr>
                <w:sz w:val="22"/>
                <w:szCs w:val="22"/>
                <w:lang w:eastAsia="en-GB"/>
              </w:rPr>
            </w:pPr>
            <w:r>
              <w:rPr>
                <w:sz w:val="22"/>
                <w:szCs w:val="22"/>
                <w:lang w:eastAsia="en-GB"/>
              </w:rPr>
              <w:t>Intercept</w:t>
            </w:r>
          </w:p>
        </w:tc>
        <w:tc>
          <w:tcPr>
            <w:tcW w:w="1701" w:type="dxa"/>
          </w:tcPr>
          <w:p w14:paraId="5A55C295" w14:textId="77777777" w:rsidR="0067138C" w:rsidRPr="00DE3DCA" w:rsidRDefault="004D750E" w:rsidP="00DE3DCA">
            <w:pPr>
              <w:tabs>
                <w:tab w:val="left" w:pos="905"/>
              </w:tabs>
              <w:spacing w:line="240" w:lineRule="auto"/>
              <w:rPr>
                <w:sz w:val="22"/>
                <w:szCs w:val="22"/>
                <w:lang w:eastAsia="en-GB"/>
              </w:rPr>
            </w:pPr>
            <w:r>
              <w:rPr>
                <w:sz w:val="22"/>
                <w:szCs w:val="22"/>
                <w:lang w:eastAsia="en-GB"/>
              </w:rPr>
              <w:t>23.72</w:t>
            </w:r>
          </w:p>
        </w:tc>
        <w:tc>
          <w:tcPr>
            <w:tcW w:w="2126" w:type="dxa"/>
          </w:tcPr>
          <w:p w14:paraId="2716C198" w14:textId="77777777" w:rsidR="0067138C" w:rsidRPr="00DE3DCA" w:rsidRDefault="004D750E" w:rsidP="00DE3DCA">
            <w:pPr>
              <w:spacing w:line="240" w:lineRule="auto"/>
              <w:rPr>
                <w:sz w:val="22"/>
                <w:szCs w:val="22"/>
                <w:lang w:eastAsia="en-GB"/>
              </w:rPr>
            </w:pPr>
            <w:r>
              <w:rPr>
                <w:sz w:val="22"/>
                <w:szCs w:val="22"/>
                <w:lang w:eastAsia="en-GB"/>
              </w:rPr>
              <w:t>21.75</w:t>
            </w:r>
          </w:p>
        </w:tc>
        <w:tc>
          <w:tcPr>
            <w:tcW w:w="2784" w:type="dxa"/>
          </w:tcPr>
          <w:p w14:paraId="2F0DBA8A" w14:textId="77777777" w:rsidR="0067138C" w:rsidRPr="00DE3DCA" w:rsidRDefault="004D750E" w:rsidP="00DE3DCA">
            <w:pPr>
              <w:spacing w:line="240" w:lineRule="auto"/>
              <w:rPr>
                <w:sz w:val="22"/>
                <w:szCs w:val="22"/>
                <w:lang w:eastAsia="en-GB"/>
              </w:rPr>
            </w:pPr>
            <w:r>
              <w:rPr>
                <w:sz w:val="22"/>
                <w:szCs w:val="22"/>
                <w:lang w:eastAsia="en-GB"/>
              </w:rPr>
              <w:t>1.09</w:t>
            </w:r>
          </w:p>
        </w:tc>
      </w:tr>
      <w:tr w:rsidR="0067138C" w:rsidRPr="00DE3DCA" w14:paraId="07928074" w14:textId="77777777" w:rsidTr="00A670A1">
        <w:tc>
          <w:tcPr>
            <w:tcW w:w="2405" w:type="dxa"/>
          </w:tcPr>
          <w:p w14:paraId="463368CA" w14:textId="77777777" w:rsidR="0067138C" w:rsidRPr="00DE3DCA" w:rsidRDefault="0067138C" w:rsidP="00DE3DCA">
            <w:pPr>
              <w:spacing w:line="240" w:lineRule="auto"/>
              <w:rPr>
                <w:sz w:val="22"/>
                <w:szCs w:val="22"/>
                <w:lang w:eastAsia="en-GB"/>
              </w:rPr>
            </w:pPr>
            <w:r>
              <w:rPr>
                <w:sz w:val="22"/>
                <w:szCs w:val="22"/>
                <w:lang w:eastAsia="en-GB"/>
              </w:rPr>
              <w:t>PCC</w:t>
            </w:r>
          </w:p>
        </w:tc>
        <w:tc>
          <w:tcPr>
            <w:tcW w:w="1701" w:type="dxa"/>
          </w:tcPr>
          <w:p w14:paraId="3D47F05D" w14:textId="77777777" w:rsidR="0067138C" w:rsidRPr="00DE3DCA" w:rsidRDefault="0067138C" w:rsidP="00DE3DCA">
            <w:pPr>
              <w:spacing w:line="240" w:lineRule="auto"/>
              <w:rPr>
                <w:sz w:val="22"/>
                <w:szCs w:val="22"/>
                <w:lang w:eastAsia="en-GB"/>
              </w:rPr>
            </w:pPr>
            <w:r>
              <w:rPr>
                <w:sz w:val="22"/>
                <w:szCs w:val="22"/>
                <w:lang w:eastAsia="en-GB"/>
              </w:rPr>
              <w:t>0.736</w:t>
            </w:r>
          </w:p>
        </w:tc>
        <w:tc>
          <w:tcPr>
            <w:tcW w:w="2126" w:type="dxa"/>
          </w:tcPr>
          <w:p w14:paraId="0BDCF79B" w14:textId="77777777" w:rsidR="0067138C" w:rsidRPr="00DE3DCA" w:rsidRDefault="004D750E" w:rsidP="00DE3DCA">
            <w:pPr>
              <w:spacing w:line="240" w:lineRule="auto"/>
              <w:rPr>
                <w:sz w:val="22"/>
                <w:szCs w:val="22"/>
                <w:lang w:eastAsia="en-GB"/>
              </w:rPr>
            </w:pPr>
            <w:r>
              <w:rPr>
                <w:sz w:val="22"/>
                <w:szCs w:val="22"/>
                <w:lang w:eastAsia="en-GB"/>
              </w:rPr>
              <w:t>0.095</w:t>
            </w:r>
          </w:p>
        </w:tc>
        <w:tc>
          <w:tcPr>
            <w:tcW w:w="2784" w:type="dxa"/>
          </w:tcPr>
          <w:p w14:paraId="3713A44A" w14:textId="77777777" w:rsidR="0067138C" w:rsidRPr="00DE3DCA" w:rsidRDefault="004D750E" w:rsidP="00DE3DCA">
            <w:pPr>
              <w:spacing w:line="240" w:lineRule="auto"/>
              <w:rPr>
                <w:sz w:val="22"/>
                <w:szCs w:val="22"/>
                <w:lang w:eastAsia="en-GB"/>
              </w:rPr>
            </w:pPr>
            <w:r>
              <w:rPr>
                <w:sz w:val="22"/>
                <w:szCs w:val="22"/>
                <w:lang w:eastAsia="en-GB"/>
              </w:rPr>
              <w:t>7.72</w:t>
            </w:r>
          </w:p>
        </w:tc>
      </w:tr>
      <w:tr w:rsidR="0067138C" w:rsidRPr="00DE3DCA" w14:paraId="0971CA9C" w14:textId="77777777" w:rsidTr="00A670A1">
        <w:tc>
          <w:tcPr>
            <w:tcW w:w="2405" w:type="dxa"/>
          </w:tcPr>
          <w:p w14:paraId="1A56A641" w14:textId="77777777" w:rsidR="0067138C" w:rsidRPr="00DE3DCA" w:rsidRDefault="0067138C" w:rsidP="00DE3DCA">
            <w:pPr>
              <w:spacing w:line="240" w:lineRule="auto"/>
              <w:rPr>
                <w:sz w:val="22"/>
                <w:szCs w:val="22"/>
                <w:lang w:eastAsia="en-GB"/>
              </w:rPr>
            </w:pPr>
            <w:r>
              <w:rPr>
                <w:sz w:val="22"/>
                <w:szCs w:val="22"/>
                <w:lang w:eastAsia="en-GB"/>
              </w:rPr>
              <w:t>PAF</w:t>
            </w:r>
          </w:p>
        </w:tc>
        <w:tc>
          <w:tcPr>
            <w:tcW w:w="1701" w:type="dxa"/>
          </w:tcPr>
          <w:p w14:paraId="0934C35D" w14:textId="77777777" w:rsidR="0067138C" w:rsidRPr="00DE3DCA" w:rsidRDefault="004D750E" w:rsidP="00DE3DCA">
            <w:pPr>
              <w:spacing w:line="240" w:lineRule="auto"/>
              <w:rPr>
                <w:sz w:val="22"/>
                <w:szCs w:val="22"/>
                <w:lang w:eastAsia="en-GB"/>
              </w:rPr>
            </w:pPr>
            <w:r>
              <w:rPr>
                <w:sz w:val="22"/>
                <w:szCs w:val="22"/>
                <w:lang w:eastAsia="en-GB"/>
              </w:rPr>
              <w:t>-0.257</w:t>
            </w:r>
          </w:p>
        </w:tc>
        <w:tc>
          <w:tcPr>
            <w:tcW w:w="2126" w:type="dxa"/>
          </w:tcPr>
          <w:p w14:paraId="48377FA8" w14:textId="77777777" w:rsidR="0067138C" w:rsidRPr="00DE3DCA" w:rsidRDefault="004D750E" w:rsidP="00DE3DCA">
            <w:pPr>
              <w:tabs>
                <w:tab w:val="center" w:pos="955"/>
              </w:tabs>
              <w:spacing w:line="240" w:lineRule="auto"/>
              <w:rPr>
                <w:sz w:val="22"/>
                <w:szCs w:val="22"/>
                <w:lang w:eastAsia="en-GB"/>
              </w:rPr>
            </w:pPr>
            <w:r>
              <w:rPr>
                <w:sz w:val="22"/>
                <w:szCs w:val="22"/>
                <w:lang w:eastAsia="en-GB"/>
              </w:rPr>
              <w:t>0.588</w:t>
            </w:r>
          </w:p>
        </w:tc>
        <w:tc>
          <w:tcPr>
            <w:tcW w:w="2784" w:type="dxa"/>
          </w:tcPr>
          <w:p w14:paraId="142924B4" w14:textId="77777777" w:rsidR="0067138C" w:rsidRPr="00DE3DCA" w:rsidRDefault="004D750E" w:rsidP="00DE3DCA">
            <w:pPr>
              <w:spacing w:line="240" w:lineRule="auto"/>
              <w:rPr>
                <w:sz w:val="22"/>
                <w:szCs w:val="22"/>
                <w:lang w:eastAsia="en-GB"/>
              </w:rPr>
            </w:pPr>
            <w:r>
              <w:rPr>
                <w:sz w:val="22"/>
                <w:szCs w:val="22"/>
                <w:lang w:eastAsia="en-GB"/>
              </w:rPr>
              <w:t>-0.44</w:t>
            </w:r>
          </w:p>
        </w:tc>
      </w:tr>
      <w:tr w:rsidR="0067138C" w:rsidRPr="00DE3DCA" w14:paraId="4C69CE34" w14:textId="77777777" w:rsidTr="00A670A1">
        <w:tc>
          <w:tcPr>
            <w:tcW w:w="2405" w:type="dxa"/>
          </w:tcPr>
          <w:p w14:paraId="6D768581" w14:textId="77777777" w:rsidR="0067138C" w:rsidRPr="00DE3DCA" w:rsidRDefault="0067138C" w:rsidP="00DE3DCA">
            <w:pPr>
              <w:spacing w:line="240" w:lineRule="auto"/>
              <w:rPr>
                <w:sz w:val="22"/>
                <w:szCs w:val="22"/>
                <w:lang w:eastAsia="en-GB"/>
              </w:rPr>
            </w:pPr>
            <w:r>
              <w:rPr>
                <w:sz w:val="22"/>
                <w:szCs w:val="22"/>
                <w:lang w:eastAsia="en-GB"/>
              </w:rPr>
              <w:t>cos(</w:t>
            </w:r>
            <m:oMath>
              <m:f>
                <m:fPr>
                  <m:type m:val="lin"/>
                  <m:ctrlPr>
                    <w:rPr>
                      <w:rFonts w:ascii="Cambria Math" w:hAnsi="Cambria Math"/>
                      <w:i/>
                      <w:sz w:val="22"/>
                      <w:szCs w:val="22"/>
                      <w:lang w:eastAsia="en-GB"/>
                    </w:rPr>
                  </m:ctrlPr>
                </m:fPr>
                <m:num>
                  <m:r>
                    <w:rPr>
                      <w:rFonts w:ascii="Cambria Math" w:hAnsi="Cambria Math"/>
                      <w:sz w:val="22"/>
                      <w:szCs w:val="22"/>
                      <w:lang w:eastAsia="en-GB"/>
                    </w:rPr>
                    <m:t>2πq</m:t>
                  </m:r>
                </m:num>
                <m:den>
                  <m:r>
                    <w:rPr>
                      <w:rFonts w:ascii="Cambria Math" w:hAnsi="Cambria Math"/>
                      <w:sz w:val="22"/>
                      <w:szCs w:val="22"/>
                      <w:lang w:eastAsia="en-GB"/>
                    </w:rPr>
                    <m:t>4</m:t>
                  </m:r>
                </m:den>
              </m:f>
            </m:oMath>
            <w:r>
              <w:rPr>
                <w:sz w:val="22"/>
                <w:szCs w:val="22"/>
                <w:lang w:eastAsia="en-GB"/>
              </w:rPr>
              <w:t>)</w:t>
            </w:r>
          </w:p>
        </w:tc>
        <w:tc>
          <w:tcPr>
            <w:tcW w:w="1701" w:type="dxa"/>
          </w:tcPr>
          <w:p w14:paraId="76ECA6F6" w14:textId="77777777" w:rsidR="0067138C" w:rsidRPr="00DE3DCA" w:rsidRDefault="004D750E" w:rsidP="00DE3DCA">
            <w:pPr>
              <w:spacing w:line="240" w:lineRule="auto"/>
              <w:rPr>
                <w:sz w:val="22"/>
                <w:szCs w:val="22"/>
                <w:lang w:eastAsia="en-GB"/>
              </w:rPr>
            </w:pPr>
            <w:r>
              <w:rPr>
                <w:sz w:val="22"/>
                <w:szCs w:val="22"/>
                <w:lang w:eastAsia="en-GB"/>
              </w:rPr>
              <w:t>0.06</w:t>
            </w:r>
          </w:p>
        </w:tc>
        <w:tc>
          <w:tcPr>
            <w:tcW w:w="2126" w:type="dxa"/>
          </w:tcPr>
          <w:p w14:paraId="6FCE2A5E" w14:textId="77777777" w:rsidR="0067138C" w:rsidRPr="00DE3DCA" w:rsidRDefault="004D750E" w:rsidP="00DE3DCA">
            <w:pPr>
              <w:spacing w:line="240" w:lineRule="auto"/>
              <w:rPr>
                <w:sz w:val="22"/>
                <w:szCs w:val="22"/>
                <w:lang w:eastAsia="en-GB"/>
              </w:rPr>
            </w:pPr>
            <w:r>
              <w:rPr>
                <w:sz w:val="22"/>
                <w:szCs w:val="22"/>
                <w:lang w:eastAsia="en-GB"/>
              </w:rPr>
              <w:t>1.86</w:t>
            </w:r>
          </w:p>
        </w:tc>
        <w:tc>
          <w:tcPr>
            <w:tcW w:w="2784" w:type="dxa"/>
          </w:tcPr>
          <w:p w14:paraId="533C53DB" w14:textId="77777777" w:rsidR="0067138C" w:rsidRPr="00DE3DCA" w:rsidRDefault="004D750E" w:rsidP="00DE3DCA">
            <w:pPr>
              <w:spacing w:line="240" w:lineRule="auto"/>
              <w:rPr>
                <w:sz w:val="22"/>
                <w:szCs w:val="22"/>
                <w:lang w:eastAsia="en-GB"/>
              </w:rPr>
            </w:pPr>
            <w:r>
              <w:rPr>
                <w:sz w:val="22"/>
                <w:szCs w:val="22"/>
                <w:lang w:eastAsia="en-GB"/>
              </w:rPr>
              <w:t>0.03</w:t>
            </w:r>
          </w:p>
        </w:tc>
      </w:tr>
      <w:tr w:rsidR="0067138C" w:rsidRPr="00DE3DCA" w14:paraId="62CC02BF" w14:textId="77777777" w:rsidTr="00A670A1">
        <w:tc>
          <w:tcPr>
            <w:tcW w:w="2405" w:type="dxa"/>
          </w:tcPr>
          <w:p w14:paraId="12186BF9" w14:textId="77777777" w:rsidR="0067138C" w:rsidRPr="00DE3DCA" w:rsidRDefault="0067138C" w:rsidP="00DE3DCA">
            <w:pPr>
              <w:spacing w:line="240" w:lineRule="auto"/>
              <w:rPr>
                <w:sz w:val="22"/>
                <w:szCs w:val="22"/>
                <w:lang w:eastAsia="en-GB"/>
              </w:rPr>
            </w:pPr>
            <w:r>
              <w:rPr>
                <w:sz w:val="22"/>
                <w:szCs w:val="22"/>
                <w:lang w:eastAsia="en-GB"/>
              </w:rPr>
              <w:t>sin(</w:t>
            </w:r>
            <m:oMath>
              <m:f>
                <m:fPr>
                  <m:type m:val="lin"/>
                  <m:ctrlPr>
                    <w:rPr>
                      <w:rFonts w:ascii="Cambria Math" w:hAnsi="Cambria Math"/>
                      <w:i/>
                      <w:sz w:val="22"/>
                      <w:szCs w:val="22"/>
                      <w:lang w:eastAsia="en-GB"/>
                    </w:rPr>
                  </m:ctrlPr>
                </m:fPr>
                <m:num>
                  <m:r>
                    <w:rPr>
                      <w:rFonts w:ascii="Cambria Math" w:hAnsi="Cambria Math"/>
                      <w:sz w:val="22"/>
                      <w:szCs w:val="22"/>
                      <w:lang w:eastAsia="en-GB"/>
                    </w:rPr>
                    <m:t>2πq</m:t>
                  </m:r>
                </m:num>
                <m:den>
                  <m:r>
                    <w:rPr>
                      <w:rFonts w:ascii="Cambria Math" w:hAnsi="Cambria Math"/>
                      <w:sz w:val="22"/>
                      <w:szCs w:val="22"/>
                      <w:lang w:eastAsia="en-GB"/>
                    </w:rPr>
                    <m:t>4</m:t>
                  </m:r>
                </m:den>
              </m:f>
            </m:oMath>
            <w:r>
              <w:rPr>
                <w:sz w:val="22"/>
                <w:szCs w:val="22"/>
                <w:lang w:eastAsia="en-GB"/>
              </w:rPr>
              <w:t>)</w:t>
            </w:r>
          </w:p>
        </w:tc>
        <w:tc>
          <w:tcPr>
            <w:tcW w:w="1701" w:type="dxa"/>
          </w:tcPr>
          <w:p w14:paraId="4DF2E315" w14:textId="77777777" w:rsidR="0067138C" w:rsidRPr="00DE3DCA" w:rsidRDefault="0067138C" w:rsidP="00DE3DCA">
            <w:pPr>
              <w:spacing w:line="240" w:lineRule="auto"/>
              <w:rPr>
                <w:sz w:val="22"/>
                <w:szCs w:val="22"/>
                <w:lang w:eastAsia="en-GB"/>
              </w:rPr>
            </w:pPr>
            <w:r>
              <w:rPr>
                <w:sz w:val="22"/>
                <w:szCs w:val="22"/>
                <w:lang w:eastAsia="en-GB"/>
              </w:rPr>
              <w:t>1.73</w:t>
            </w:r>
          </w:p>
        </w:tc>
        <w:tc>
          <w:tcPr>
            <w:tcW w:w="2126" w:type="dxa"/>
          </w:tcPr>
          <w:p w14:paraId="79FE7C3C" w14:textId="77777777" w:rsidR="0067138C" w:rsidRPr="00DE3DCA" w:rsidRDefault="004D750E" w:rsidP="00DE3DCA">
            <w:pPr>
              <w:spacing w:line="240" w:lineRule="auto"/>
              <w:rPr>
                <w:sz w:val="22"/>
                <w:szCs w:val="22"/>
                <w:lang w:eastAsia="en-GB"/>
              </w:rPr>
            </w:pPr>
            <w:r>
              <w:rPr>
                <w:sz w:val="22"/>
                <w:szCs w:val="22"/>
                <w:lang w:eastAsia="en-GB"/>
              </w:rPr>
              <w:t>1.52</w:t>
            </w:r>
          </w:p>
        </w:tc>
        <w:tc>
          <w:tcPr>
            <w:tcW w:w="2784" w:type="dxa"/>
          </w:tcPr>
          <w:p w14:paraId="32F1014F" w14:textId="77777777" w:rsidR="0067138C" w:rsidRPr="00DE3DCA" w:rsidRDefault="004D750E" w:rsidP="00DE3DCA">
            <w:pPr>
              <w:spacing w:line="240" w:lineRule="auto"/>
              <w:rPr>
                <w:sz w:val="22"/>
                <w:szCs w:val="22"/>
                <w:lang w:eastAsia="en-GB"/>
              </w:rPr>
            </w:pPr>
            <w:r>
              <w:rPr>
                <w:sz w:val="22"/>
                <w:szCs w:val="22"/>
                <w:lang w:eastAsia="en-GB"/>
              </w:rPr>
              <w:t>1.14</w:t>
            </w:r>
          </w:p>
        </w:tc>
      </w:tr>
      <w:tr w:rsidR="0067138C" w:rsidRPr="00DE3DCA" w14:paraId="327C3350" w14:textId="77777777" w:rsidTr="00A670A1">
        <w:tc>
          <w:tcPr>
            <w:tcW w:w="2405" w:type="dxa"/>
          </w:tcPr>
          <w:p w14:paraId="47924B6D" w14:textId="77777777" w:rsidR="0067138C" w:rsidRPr="00DE3DCA" w:rsidRDefault="004D750E" w:rsidP="00DE3DCA">
            <w:pPr>
              <w:spacing w:line="240" w:lineRule="auto"/>
              <w:rPr>
                <w:sz w:val="22"/>
                <w:szCs w:val="22"/>
                <w:lang w:eastAsia="en-GB"/>
              </w:rPr>
            </w:pPr>
            <w:r>
              <w:rPr>
                <w:sz w:val="22"/>
                <w:szCs w:val="22"/>
                <w:lang w:eastAsia="en-GB"/>
              </w:rPr>
              <w:t>Abuja</w:t>
            </w:r>
          </w:p>
        </w:tc>
        <w:tc>
          <w:tcPr>
            <w:tcW w:w="1701" w:type="dxa"/>
          </w:tcPr>
          <w:p w14:paraId="52647FF8" w14:textId="77777777" w:rsidR="0067138C" w:rsidRPr="00DE3DCA" w:rsidRDefault="004D750E" w:rsidP="00DE3DCA">
            <w:pPr>
              <w:spacing w:line="240" w:lineRule="auto"/>
              <w:rPr>
                <w:sz w:val="22"/>
                <w:szCs w:val="22"/>
                <w:lang w:eastAsia="en-GB"/>
              </w:rPr>
            </w:pPr>
            <w:r>
              <w:rPr>
                <w:sz w:val="22"/>
                <w:szCs w:val="22"/>
                <w:lang w:eastAsia="en-GB"/>
              </w:rPr>
              <w:t>104.93</w:t>
            </w:r>
          </w:p>
        </w:tc>
        <w:tc>
          <w:tcPr>
            <w:tcW w:w="2126" w:type="dxa"/>
          </w:tcPr>
          <w:p w14:paraId="748E3218" w14:textId="77777777" w:rsidR="0067138C" w:rsidRPr="00DE3DCA" w:rsidRDefault="004D750E" w:rsidP="00DE3DCA">
            <w:pPr>
              <w:spacing w:line="240" w:lineRule="auto"/>
              <w:rPr>
                <w:sz w:val="22"/>
                <w:szCs w:val="22"/>
                <w:lang w:eastAsia="en-GB"/>
              </w:rPr>
            </w:pPr>
            <w:r>
              <w:rPr>
                <w:sz w:val="22"/>
                <w:szCs w:val="22"/>
                <w:lang w:eastAsia="en-GB"/>
              </w:rPr>
              <w:t>43.72</w:t>
            </w:r>
          </w:p>
        </w:tc>
        <w:tc>
          <w:tcPr>
            <w:tcW w:w="2784" w:type="dxa"/>
          </w:tcPr>
          <w:p w14:paraId="0E24BD3B" w14:textId="77777777" w:rsidR="0067138C" w:rsidRPr="00DE3DCA" w:rsidRDefault="004D750E" w:rsidP="00DE3DCA">
            <w:pPr>
              <w:spacing w:line="240" w:lineRule="auto"/>
              <w:rPr>
                <w:sz w:val="22"/>
                <w:szCs w:val="22"/>
                <w:lang w:eastAsia="en-GB"/>
              </w:rPr>
            </w:pPr>
            <w:r>
              <w:rPr>
                <w:sz w:val="22"/>
                <w:szCs w:val="22"/>
                <w:lang w:eastAsia="en-GB"/>
              </w:rPr>
              <w:t>2.40</w:t>
            </w:r>
          </w:p>
        </w:tc>
      </w:tr>
      <w:tr w:rsidR="004D750E" w:rsidRPr="00DE3DCA" w14:paraId="7EA31412" w14:textId="77777777" w:rsidTr="00A670A1">
        <w:tc>
          <w:tcPr>
            <w:tcW w:w="2405" w:type="dxa"/>
          </w:tcPr>
          <w:p w14:paraId="61C94459" w14:textId="77777777" w:rsidR="004D750E" w:rsidRPr="00DE3DCA" w:rsidRDefault="004D750E" w:rsidP="00DE3DCA">
            <w:pPr>
              <w:spacing w:line="240" w:lineRule="auto"/>
              <w:rPr>
                <w:sz w:val="22"/>
                <w:szCs w:val="22"/>
                <w:lang w:eastAsia="en-GB"/>
              </w:rPr>
            </w:pPr>
            <w:r>
              <w:rPr>
                <w:sz w:val="22"/>
                <w:szCs w:val="22"/>
                <w:lang w:eastAsia="en-GB"/>
              </w:rPr>
              <w:t>Benin</w:t>
            </w:r>
          </w:p>
        </w:tc>
        <w:tc>
          <w:tcPr>
            <w:tcW w:w="1701" w:type="dxa"/>
          </w:tcPr>
          <w:p w14:paraId="015004B2" w14:textId="77777777" w:rsidR="004D750E" w:rsidRPr="00DE3DCA" w:rsidRDefault="004D750E" w:rsidP="00DE3DCA">
            <w:pPr>
              <w:spacing w:line="240" w:lineRule="auto"/>
              <w:rPr>
                <w:sz w:val="22"/>
                <w:szCs w:val="22"/>
                <w:lang w:eastAsia="en-GB"/>
              </w:rPr>
            </w:pPr>
            <w:r>
              <w:rPr>
                <w:sz w:val="22"/>
                <w:szCs w:val="22"/>
                <w:lang w:eastAsia="en-GB"/>
              </w:rPr>
              <w:t>62.31</w:t>
            </w:r>
          </w:p>
        </w:tc>
        <w:tc>
          <w:tcPr>
            <w:tcW w:w="2126" w:type="dxa"/>
          </w:tcPr>
          <w:p w14:paraId="75D0C587" w14:textId="77777777" w:rsidR="004D750E" w:rsidRPr="00DE3DCA" w:rsidRDefault="004D750E" w:rsidP="00DE3DCA">
            <w:pPr>
              <w:spacing w:line="240" w:lineRule="auto"/>
              <w:rPr>
                <w:sz w:val="22"/>
                <w:szCs w:val="22"/>
                <w:lang w:eastAsia="en-GB"/>
              </w:rPr>
            </w:pPr>
            <w:r>
              <w:rPr>
                <w:sz w:val="22"/>
                <w:szCs w:val="22"/>
                <w:lang w:eastAsia="en-GB"/>
              </w:rPr>
              <w:t>20.40</w:t>
            </w:r>
          </w:p>
        </w:tc>
        <w:tc>
          <w:tcPr>
            <w:tcW w:w="2784" w:type="dxa"/>
          </w:tcPr>
          <w:p w14:paraId="6536B3F8" w14:textId="77777777" w:rsidR="004D750E" w:rsidRPr="00DE3DCA" w:rsidRDefault="004D750E" w:rsidP="00DE3DCA">
            <w:pPr>
              <w:spacing w:line="240" w:lineRule="auto"/>
              <w:rPr>
                <w:sz w:val="22"/>
                <w:szCs w:val="22"/>
                <w:lang w:eastAsia="en-GB"/>
              </w:rPr>
            </w:pPr>
            <w:r>
              <w:rPr>
                <w:sz w:val="22"/>
                <w:szCs w:val="22"/>
                <w:lang w:eastAsia="en-GB"/>
              </w:rPr>
              <w:t>3.05</w:t>
            </w:r>
          </w:p>
        </w:tc>
      </w:tr>
      <w:tr w:rsidR="004D750E" w:rsidRPr="00DE3DCA" w14:paraId="74827AED" w14:textId="77777777" w:rsidTr="00A670A1">
        <w:tc>
          <w:tcPr>
            <w:tcW w:w="2405" w:type="dxa"/>
          </w:tcPr>
          <w:p w14:paraId="5145F4B8" w14:textId="77777777" w:rsidR="004D750E" w:rsidRPr="00DE3DCA" w:rsidRDefault="004D750E" w:rsidP="00DE3DCA">
            <w:pPr>
              <w:spacing w:line="240" w:lineRule="auto"/>
              <w:rPr>
                <w:sz w:val="22"/>
                <w:szCs w:val="22"/>
                <w:lang w:eastAsia="en-GB"/>
              </w:rPr>
            </w:pPr>
            <w:r>
              <w:rPr>
                <w:sz w:val="22"/>
                <w:szCs w:val="22"/>
                <w:lang w:eastAsia="en-GB"/>
              </w:rPr>
              <w:t>Eko</w:t>
            </w:r>
          </w:p>
        </w:tc>
        <w:tc>
          <w:tcPr>
            <w:tcW w:w="1701" w:type="dxa"/>
          </w:tcPr>
          <w:p w14:paraId="03CA0C31" w14:textId="77777777" w:rsidR="004D750E" w:rsidRPr="00DE3DCA" w:rsidRDefault="004D750E" w:rsidP="00DE3DCA">
            <w:pPr>
              <w:spacing w:line="240" w:lineRule="auto"/>
              <w:rPr>
                <w:sz w:val="22"/>
                <w:szCs w:val="22"/>
                <w:lang w:eastAsia="en-GB"/>
              </w:rPr>
            </w:pPr>
            <w:r>
              <w:rPr>
                <w:sz w:val="22"/>
                <w:szCs w:val="22"/>
                <w:lang w:eastAsia="en-GB"/>
              </w:rPr>
              <w:t>96.83</w:t>
            </w:r>
          </w:p>
        </w:tc>
        <w:tc>
          <w:tcPr>
            <w:tcW w:w="2126" w:type="dxa"/>
          </w:tcPr>
          <w:p w14:paraId="79426301" w14:textId="77777777" w:rsidR="004D750E" w:rsidRPr="00DE3DCA" w:rsidRDefault="004D750E" w:rsidP="00DE3DCA">
            <w:pPr>
              <w:spacing w:line="240" w:lineRule="auto"/>
              <w:rPr>
                <w:sz w:val="22"/>
                <w:szCs w:val="22"/>
                <w:lang w:eastAsia="en-GB"/>
              </w:rPr>
            </w:pPr>
            <w:r>
              <w:rPr>
                <w:sz w:val="22"/>
                <w:szCs w:val="22"/>
                <w:lang w:eastAsia="en-GB"/>
              </w:rPr>
              <w:t>34.35</w:t>
            </w:r>
          </w:p>
        </w:tc>
        <w:tc>
          <w:tcPr>
            <w:tcW w:w="2784" w:type="dxa"/>
          </w:tcPr>
          <w:p w14:paraId="02DD07D7" w14:textId="77777777" w:rsidR="004D750E" w:rsidRPr="00DE3DCA" w:rsidRDefault="004D750E" w:rsidP="00DE3DCA">
            <w:pPr>
              <w:spacing w:line="240" w:lineRule="auto"/>
              <w:rPr>
                <w:sz w:val="22"/>
                <w:szCs w:val="22"/>
                <w:lang w:eastAsia="en-GB"/>
              </w:rPr>
            </w:pPr>
            <w:r>
              <w:rPr>
                <w:sz w:val="22"/>
                <w:szCs w:val="22"/>
                <w:lang w:eastAsia="en-GB"/>
              </w:rPr>
              <w:t>2.82</w:t>
            </w:r>
          </w:p>
        </w:tc>
      </w:tr>
      <w:tr w:rsidR="004D750E" w:rsidRPr="00DE3DCA" w14:paraId="56808FB6" w14:textId="77777777" w:rsidTr="00A670A1">
        <w:tc>
          <w:tcPr>
            <w:tcW w:w="2405" w:type="dxa"/>
          </w:tcPr>
          <w:p w14:paraId="4CB2BC4D" w14:textId="77777777" w:rsidR="004D750E" w:rsidRPr="00DE3DCA" w:rsidRDefault="004D750E" w:rsidP="00DE3DCA">
            <w:pPr>
              <w:spacing w:line="240" w:lineRule="auto"/>
              <w:rPr>
                <w:sz w:val="22"/>
                <w:szCs w:val="22"/>
                <w:lang w:eastAsia="en-GB"/>
              </w:rPr>
            </w:pPr>
            <w:r>
              <w:rPr>
                <w:sz w:val="22"/>
                <w:szCs w:val="22"/>
                <w:lang w:eastAsia="en-GB"/>
              </w:rPr>
              <w:t>Enugu</w:t>
            </w:r>
          </w:p>
        </w:tc>
        <w:tc>
          <w:tcPr>
            <w:tcW w:w="1701" w:type="dxa"/>
          </w:tcPr>
          <w:p w14:paraId="7FEEBD98" w14:textId="77777777" w:rsidR="004D750E" w:rsidRPr="00DE3DCA" w:rsidRDefault="004D750E" w:rsidP="00DE3DCA">
            <w:pPr>
              <w:spacing w:line="240" w:lineRule="auto"/>
              <w:rPr>
                <w:sz w:val="22"/>
                <w:szCs w:val="22"/>
                <w:lang w:eastAsia="en-GB"/>
              </w:rPr>
            </w:pPr>
            <w:r>
              <w:rPr>
                <w:sz w:val="22"/>
                <w:szCs w:val="22"/>
                <w:lang w:eastAsia="en-GB"/>
              </w:rPr>
              <w:t>48.25</w:t>
            </w:r>
          </w:p>
        </w:tc>
        <w:tc>
          <w:tcPr>
            <w:tcW w:w="2126" w:type="dxa"/>
          </w:tcPr>
          <w:p w14:paraId="04EC7871" w14:textId="77777777" w:rsidR="004D750E" w:rsidRPr="00DE3DCA" w:rsidRDefault="004D750E" w:rsidP="00DE3DCA">
            <w:pPr>
              <w:spacing w:line="240" w:lineRule="auto"/>
              <w:rPr>
                <w:sz w:val="22"/>
                <w:szCs w:val="22"/>
                <w:lang w:eastAsia="en-GB"/>
              </w:rPr>
            </w:pPr>
            <w:r>
              <w:rPr>
                <w:sz w:val="22"/>
                <w:szCs w:val="22"/>
                <w:lang w:eastAsia="en-GB"/>
              </w:rPr>
              <w:t>19.10</w:t>
            </w:r>
          </w:p>
        </w:tc>
        <w:tc>
          <w:tcPr>
            <w:tcW w:w="2784" w:type="dxa"/>
          </w:tcPr>
          <w:p w14:paraId="7ED54337" w14:textId="77777777" w:rsidR="004D750E" w:rsidRPr="00DE3DCA" w:rsidRDefault="004D750E" w:rsidP="00DE3DCA">
            <w:pPr>
              <w:spacing w:line="240" w:lineRule="auto"/>
              <w:rPr>
                <w:sz w:val="22"/>
                <w:szCs w:val="22"/>
                <w:lang w:eastAsia="en-GB"/>
              </w:rPr>
            </w:pPr>
            <w:r>
              <w:rPr>
                <w:sz w:val="22"/>
                <w:szCs w:val="22"/>
                <w:lang w:eastAsia="en-GB"/>
              </w:rPr>
              <w:t>2.53</w:t>
            </w:r>
          </w:p>
        </w:tc>
      </w:tr>
      <w:tr w:rsidR="004D750E" w:rsidRPr="00DE3DCA" w14:paraId="1D020FF5" w14:textId="77777777" w:rsidTr="00A670A1">
        <w:tc>
          <w:tcPr>
            <w:tcW w:w="2405" w:type="dxa"/>
          </w:tcPr>
          <w:p w14:paraId="1D162757" w14:textId="77777777" w:rsidR="004D750E" w:rsidRPr="00DE3DCA" w:rsidRDefault="004D750E" w:rsidP="00DE3DCA">
            <w:pPr>
              <w:spacing w:line="240" w:lineRule="auto"/>
              <w:rPr>
                <w:sz w:val="22"/>
                <w:szCs w:val="22"/>
                <w:lang w:eastAsia="en-GB"/>
              </w:rPr>
            </w:pPr>
            <w:r>
              <w:rPr>
                <w:sz w:val="22"/>
                <w:szCs w:val="22"/>
                <w:lang w:eastAsia="en-GB"/>
              </w:rPr>
              <w:t>Ibadan</w:t>
            </w:r>
          </w:p>
        </w:tc>
        <w:tc>
          <w:tcPr>
            <w:tcW w:w="1701" w:type="dxa"/>
          </w:tcPr>
          <w:p w14:paraId="75EFEF7F" w14:textId="77777777" w:rsidR="004D750E" w:rsidRPr="00DE3DCA" w:rsidRDefault="004D750E" w:rsidP="00DE3DCA">
            <w:pPr>
              <w:spacing w:line="240" w:lineRule="auto"/>
              <w:rPr>
                <w:sz w:val="22"/>
                <w:szCs w:val="22"/>
                <w:lang w:eastAsia="en-GB"/>
              </w:rPr>
            </w:pPr>
            <w:r>
              <w:rPr>
                <w:sz w:val="22"/>
                <w:szCs w:val="22"/>
                <w:lang w:eastAsia="en-GB"/>
              </w:rPr>
              <w:t>80.42</w:t>
            </w:r>
          </w:p>
        </w:tc>
        <w:tc>
          <w:tcPr>
            <w:tcW w:w="2126" w:type="dxa"/>
          </w:tcPr>
          <w:p w14:paraId="10C3D280" w14:textId="77777777" w:rsidR="004D750E" w:rsidRPr="00DE3DCA" w:rsidRDefault="004D750E" w:rsidP="00DE3DCA">
            <w:pPr>
              <w:spacing w:line="240" w:lineRule="auto"/>
              <w:rPr>
                <w:sz w:val="22"/>
                <w:szCs w:val="22"/>
                <w:lang w:eastAsia="en-GB"/>
              </w:rPr>
            </w:pPr>
            <w:r>
              <w:rPr>
                <w:sz w:val="22"/>
                <w:szCs w:val="22"/>
                <w:lang w:eastAsia="en-GB"/>
              </w:rPr>
              <w:t>31.12</w:t>
            </w:r>
          </w:p>
        </w:tc>
        <w:tc>
          <w:tcPr>
            <w:tcW w:w="2784" w:type="dxa"/>
          </w:tcPr>
          <w:p w14:paraId="436F399D" w14:textId="77777777" w:rsidR="004D750E" w:rsidRPr="00DE3DCA" w:rsidRDefault="004D750E" w:rsidP="00DE3DCA">
            <w:pPr>
              <w:spacing w:line="240" w:lineRule="auto"/>
              <w:rPr>
                <w:sz w:val="22"/>
                <w:szCs w:val="22"/>
                <w:lang w:eastAsia="en-GB"/>
              </w:rPr>
            </w:pPr>
            <w:r>
              <w:rPr>
                <w:sz w:val="22"/>
                <w:szCs w:val="22"/>
                <w:lang w:eastAsia="en-GB"/>
              </w:rPr>
              <w:t>2.58</w:t>
            </w:r>
          </w:p>
        </w:tc>
      </w:tr>
      <w:tr w:rsidR="004D750E" w:rsidRPr="00DE3DCA" w14:paraId="0398E38E" w14:textId="77777777" w:rsidTr="00A670A1">
        <w:tc>
          <w:tcPr>
            <w:tcW w:w="2405" w:type="dxa"/>
          </w:tcPr>
          <w:p w14:paraId="732AEE43" w14:textId="77777777" w:rsidR="004D750E" w:rsidRPr="00DE3DCA" w:rsidRDefault="004D750E" w:rsidP="00DE3DCA">
            <w:pPr>
              <w:spacing w:line="240" w:lineRule="auto"/>
              <w:rPr>
                <w:sz w:val="22"/>
                <w:szCs w:val="22"/>
                <w:lang w:eastAsia="en-GB"/>
              </w:rPr>
            </w:pPr>
            <w:r>
              <w:rPr>
                <w:sz w:val="22"/>
                <w:szCs w:val="22"/>
                <w:lang w:eastAsia="en-GB"/>
              </w:rPr>
              <w:t>Ikeja</w:t>
            </w:r>
          </w:p>
        </w:tc>
        <w:tc>
          <w:tcPr>
            <w:tcW w:w="1701" w:type="dxa"/>
          </w:tcPr>
          <w:p w14:paraId="51036C63" w14:textId="77777777" w:rsidR="004D750E" w:rsidRPr="00DE3DCA" w:rsidRDefault="004D750E" w:rsidP="00DE3DCA">
            <w:pPr>
              <w:spacing w:line="240" w:lineRule="auto"/>
              <w:rPr>
                <w:sz w:val="22"/>
                <w:szCs w:val="22"/>
                <w:lang w:eastAsia="en-GB"/>
              </w:rPr>
            </w:pPr>
            <w:r>
              <w:rPr>
                <w:sz w:val="22"/>
                <w:szCs w:val="22"/>
                <w:lang w:eastAsia="en-GB"/>
              </w:rPr>
              <w:t>114.32</w:t>
            </w:r>
          </w:p>
        </w:tc>
        <w:tc>
          <w:tcPr>
            <w:tcW w:w="2126" w:type="dxa"/>
          </w:tcPr>
          <w:p w14:paraId="0B61E91C" w14:textId="77777777" w:rsidR="004D750E" w:rsidRPr="00DE3DCA" w:rsidRDefault="004D750E" w:rsidP="00DE3DCA">
            <w:pPr>
              <w:spacing w:line="240" w:lineRule="auto"/>
              <w:rPr>
                <w:sz w:val="22"/>
                <w:szCs w:val="22"/>
                <w:lang w:eastAsia="en-GB"/>
              </w:rPr>
            </w:pPr>
            <w:r>
              <w:rPr>
                <w:sz w:val="22"/>
                <w:szCs w:val="22"/>
                <w:lang w:eastAsia="en-GB"/>
              </w:rPr>
              <w:t>43.36</w:t>
            </w:r>
          </w:p>
        </w:tc>
        <w:tc>
          <w:tcPr>
            <w:tcW w:w="2784" w:type="dxa"/>
          </w:tcPr>
          <w:p w14:paraId="4638942A" w14:textId="77777777" w:rsidR="004D750E" w:rsidRPr="00DE3DCA" w:rsidRDefault="004D750E" w:rsidP="00DE3DCA">
            <w:pPr>
              <w:spacing w:line="240" w:lineRule="auto"/>
              <w:rPr>
                <w:sz w:val="22"/>
                <w:szCs w:val="22"/>
                <w:lang w:eastAsia="en-GB"/>
              </w:rPr>
            </w:pPr>
            <w:r>
              <w:rPr>
                <w:sz w:val="22"/>
                <w:szCs w:val="22"/>
                <w:lang w:eastAsia="en-GB"/>
              </w:rPr>
              <w:t>2.64</w:t>
            </w:r>
          </w:p>
        </w:tc>
      </w:tr>
      <w:tr w:rsidR="004D750E" w:rsidRPr="00DE3DCA" w14:paraId="5788C612" w14:textId="77777777" w:rsidTr="00A670A1">
        <w:tc>
          <w:tcPr>
            <w:tcW w:w="2405" w:type="dxa"/>
          </w:tcPr>
          <w:p w14:paraId="1B5E7F54" w14:textId="77777777" w:rsidR="004D750E" w:rsidRPr="00DE3DCA" w:rsidRDefault="004D750E" w:rsidP="00DE3DCA">
            <w:pPr>
              <w:spacing w:line="240" w:lineRule="auto"/>
              <w:rPr>
                <w:sz w:val="22"/>
                <w:szCs w:val="22"/>
                <w:lang w:eastAsia="en-GB"/>
              </w:rPr>
            </w:pPr>
            <w:r>
              <w:rPr>
                <w:sz w:val="22"/>
                <w:szCs w:val="22"/>
                <w:lang w:eastAsia="en-GB"/>
              </w:rPr>
              <w:t>Jos</w:t>
            </w:r>
          </w:p>
        </w:tc>
        <w:tc>
          <w:tcPr>
            <w:tcW w:w="1701" w:type="dxa"/>
          </w:tcPr>
          <w:p w14:paraId="13476A99" w14:textId="77777777" w:rsidR="004D750E" w:rsidRPr="00DE3DCA" w:rsidRDefault="004D750E" w:rsidP="00DE3DCA">
            <w:pPr>
              <w:spacing w:line="240" w:lineRule="auto"/>
              <w:rPr>
                <w:sz w:val="22"/>
                <w:szCs w:val="22"/>
                <w:lang w:eastAsia="en-GB"/>
              </w:rPr>
            </w:pPr>
            <w:r>
              <w:rPr>
                <w:sz w:val="22"/>
                <w:szCs w:val="22"/>
                <w:lang w:eastAsia="en-GB"/>
              </w:rPr>
              <w:t>15.05</w:t>
            </w:r>
          </w:p>
        </w:tc>
        <w:tc>
          <w:tcPr>
            <w:tcW w:w="2126" w:type="dxa"/>
          </w:tcPr>
          <w:p w14:paraId="35D12216" w14:textId="77777777" w:rsidR="004D750E" w:rsidRPr="00DE3DCA" w:rsidRDefault="004D750E" w:rsidP="00DE3DCA">
            <w:pPr>
              <w:spacing w:line="240" w:lineRule="auto"/>
              <w:rPr>
                <w:sz w:val="22"/>
                <w:szCs w:val="22"/>
                <w:lang w:eastAsia="en-GB"/>
              </w:rPr>
            </w:pPr>
            <w:r>
              <w:rPr>
                <w:sz w:val="22"/>
                <w:szCs w:val="22"/>
                <w:lang w:eastAsia="en-GB"/>
              </w:rPr>
              <w:t>9.03</w:t>
            </w:r>
          </w:p>
        </w:tc>
        <w:tc>
          <w:tcPr>
            <w:tcW w:w="2784" w:type="dxa"/>
          </w:tcPr>
          <w:p w14:paraId="331569CE" w14:textId="77777777" w:rsidR="004D750E" w:rsidRPr="00DE3DCA" w:rsidRDefault="004D750E" w:rsidP="00DE3DCA">
            <w:pPr>
              <w:spacing w:line="240" w:lineRule="auto"/>
              <w:rPr>
                <w:sz w:val="22"/>
                <w:szCs w:val="22"/>
                <w:lang w:eastAsia="en-GB"/>
              </w:rPr>
            </w:pPr>
            <w:r>
              <w:rPr>
                <w:sz w:val="22"/>
                <w:szCs w:val="22"/>
                <w:lang w:eastAsia="en-GB"/>
              </w:rPr>
              <w:t>1.67</w:t>
            </w:r>
          </w:p>
        </w:tc>
      </w:tr>
      <w:tr w:rsidR="004D750E" w:rsidRPr="00DE3DCA" w14:paraId="6C9DE6A2" w14:textId="77777777" w:rsidTr="00A670A1">
        <w:tc>
          <w:tcPr>
            <w:tcW w:w="2405" w:type="dxa"/>
          </w:tcPr>
          <w:p w14:paraId="35239042" w14:textId="77777777" w:rsidR="004D750E" w:rsidRPr="00DE3DCA" w:rsidRDefault="004D750E" w:rsidP="00DE3DCA">
            <w:pPr>
              <w:spacing w:line="240" w:lineRule="auto"/>
              <w:rPr>
                <w:sz w:val="22"/>
                <w:szCs w:val="22"/>
                <w:lang w:eastAsia="en-GB"/>
              </w:rPr>
            </w:pPr>
            <w:r>
              <w:rPr>
                <w:sz w:val="22"/>
                <w:szCs w:val="22"/>
                <w:lang w:eastAsia="en-GB"/>
              </w:rPr>
              <w:t>Kaduna</w:t>
            </w:r>
          </w:p>
        </w:tc>
        <w:tc>
          <w:tcPr>
            <w:tcW w:w="1701" w:type="dxa"/>
          </w:tcPr>
          <w:p w14:paraId="30620726" w14:textId="77777777" w:rsidR="004D750E" w:rsidRPr="00DE3DCA" w:rsidRDefault="004D750E" w:rsidP="00DE3DCA">
            <w:pPr>
              <w:spacing w:line="240" w:lineRule="auto"/>
              <w:rPr>
                <w:sz w:val="22"/>
                <w:szCs w:val="22"/>
                <w:lang w:eastAsia="en-GB"/>
              </w:rPr>
            </w:pPr>
            <w:r>
              <w:rPr>
                <w:sz w:val="22"/>
                <w:szCs w:val="22"/>
                <w:lang w:eastAsia="en-GB"/>
              </w:rPr>
              <w:t>19.94</w:t>
            </w:r>
          </w:p>
        </w:tc>
        <w:tc>
          <w:tcPr>
            <w:tcW w:w="2126" w:type="dxa"/>
          </w:tcPr>
          <w:p w14:paraId="3BB9081C" w14:textId="77777777" w:rsidR="004D750E" w:rsidRPr="00DE3DCA" w:rsidRDefault="004D750E" w:rsidP="00DE3DCA">
            <w:pPr>
              <w:spacing w:line="240" w:lineRule="auto"/>
              <w:rPr>
                <w:sz w:val="22"/>
                <w:szCs w:val="22"/>
                <w:lang w:eastAsia="en-GB"/>
              </w:rPr>
            </w:pPr>
            <w:r>
              <w:rPr>
                <w:sz w:val="22"/>
                <w:szCs w:val="22"/>
                <w:lang w:eastAsia="en-GB"/>
              </w:rPr>
              <w:t>11.19</w:t>
            </w:r>
          </w:p>
        </w:tc>
        <w:tc>
          <w:tcPr>
            <w:tcW w:w="2784" w:type="dxa"/>
          </w:tcPr>
          <w:p w14:paraId="4478E2B4" w14:textId="77777777" w:rsidR="004D750E" w:rsidRPr="00DE3DCA" w:rsidRDefault="004D750E" w:rsidP="00DE3DCA">
            <w:pPr>
              <w:spacing w:line="240" w:lineRule="auto"/>
              <w:rPr>
                <w:sz w:val="22"/>
                <w:szCs w:val="22"/>
                <w:lang w:eastAsia="en-GB"/>
              </w:rPr>
            </w:pPr>
            <w:r>
              <w:rPr>
                <w:sz w:val="22"/>
                <w:szCs w:val="22"/>
                <w:lang w:eastAsia="en-GB"/>
              </w:rPr>
              <w:t>1.78</w:t>
            </w:r>
          </w:p>
        </w:tc>
      </w:tr>
      <w:tr w:rsidR="004D750E" w:rsidRPr="00DE3DCA" w14:paraId="440E355A" w14:textId="77777777" w:rsidTr="00A670A1">
        <w:tc>
          <w:tcPr>
            <w:tcW w:w="2405" w:type="dxa"/>
          </w:tcPr>
          <w:p w14:paraId="00A5CD7E" w14:textId="77777777" w:rsidR="004D750E" w:rsidRPr="00DE3DCA" w:rsidRDefault="004D750E" w:rsidP="00DE3DCA">
            <w:pPr>
              <w:spacing w:line="240" w:lineRule="auto"/>
              <w:rPr>
                <w:sz w:val="22"/>
                <w:szCs w:val="22"/>
                <w:lang w:eastAsia="en-GB"/>
              </w:rPr>
            </w:pPr>
            <w:r>
              <w:rPr>
                <w:sz w:val="22"/>
                <w:szCs w:val="22"/>
                <w:lang w:eastAsia="en-GB"/>
              </w:rPr>
              <w:t>Kano</w:t>
            </w:r>
          </w:p>
        </w:tc>
        <w:tc>
          <w:tcPr>
            <w:tcW w:w="1701" w:type="dxa"/>
          </w:tcPr>
          <w:p w14:paraId="73C8F8F7" w14:textId="77777777" w:rsidR="004D750E" w:rsidRPr="00DE3DCA" w:rsidRDefault="004D750E" w:rsidP="00DE3DCA">
            <w:pPr>
              <w:spacing w:line="240" w:lineRule="auto"/>
              <w:rPr>
                <w:sz w:val="22"/>
                <w:szCs w:val="22"/>
                <w:lang w:eastAsia="en-GB"/>
              </w:rPr>
            </w:pPr>
            <w:r>
              <w:rPr>
                <w:sz w:val="22"/>
                <w:szCs w:val="22"/>
                <w:lang w:eastAsia="en-GB"/>
              </w:rPr>
              <w:t>24.01</w:t>
            </w:r>
          </w:p>
        </w:tc>
        <w:tc>
          <w:tcPr>
            <w:tcW w:w="2126" w:type="dxa"/>
          </w:tcPr>
          <w:p w14:paraId="000423A8" w14:textId="77777777" w:rsidR="004D750E" w:rsidRPr="00DE3DCA" w:rsidRDefault="004D750E" w:rsidP="00DE3DCA">
            <w:pPr>
              <w:spacing w:line="240" w:lineRule="auto"/>
              <w:rPr>
                <w:sz w:val="22"/>
                <w:szCs w:val="22"/>
                <w:lang w:eastAsia="en-GB"/>
              </w:rPr>
            </w:pPr>
            <w:r>
              <w:rPr>
                <w:sz w:val="22"/>
                <w:szCs w:val="22"/>
                <w:lang w:eastAsia="en-GB"/>
              </w:rPr>
              <w:t>11.37</w:t>
            </w:r>
          </w:p>
        </w:tc>
        <w:tc>
          <w:tcPr>
            <w:tcW w:w="2784" w:type="dxa"/>
          </w:tcPr>
          <w:p w14:paraId="39D88FB7" w14:textId="77777777" w:rsidR="004D750E" w:rsidRPr="00DE3DCA" w:rsidRDefault="004D750E" w:rsidP="00DE3DCA">
            <w:pPr>
              <w:spacing w:line="240" w:lineRule="auto"/>
              <w:rPr>
                <w:sz w:val="22"/>
                <w:szCs w:val="22"/>
                <w:lang w:eastAsia="en-GB"/>
              </w:rPr>
            </w:pPr>
            <w:r>
              <w:rPr>
                <w:sz w:val="22"/>
                <w:szCs w:val="22"/>
                <w:lang w:eastAsia="en-GB"/>
              </w:rPr>
              <w:t>2.11</w:t>
            </w:r>
          </w:p>
        </w:tc>
      </w:tr>
      <w:tr w:rsidR="004D750E" w:rsidRPr="00DE3DCA" w14:paraId="53B17108" w14:textId="77777777" w:rsidTr="00A670A1">
        <w:tc>
          <w:tcPr>
            <w:tcW w:w="2405" w:type="dxa"/>
          </w:tcPr>
          <w:p w14:paraId="7021852D" w14:textId="77777777" w:rsidR="004D750E" w:rsidRPr="00DE3DCA" w:rsidRDefault="004D750E" w:rsidP="00DE3DCA">
            <w:pPr>
              <w:spacing w:line="240" w:lineRule="auto"/>
              <w:rPr>
                <w:sz w:val="22"/>
                <w:szCs w:val="22"/>
                <w:lang w:eastAsia="en-GB"/>
              </w:rPr>
            </w:pPr>
            <w:r>
              <w:rPr>
                <w:sz w:val="22"/>
                <w:szCs w:val="22"/>
                <w:lang w:eastAsia="en-GB"/>
              </w:rPr>
              <w:t>Port Harcourt</w:t>
            </w:r>
          </w:p>
        </w:tc>
        <w:tc>
          <w:tcPr>
            <w:tcW w:w="1701" w:type="dxa"/>
          </w:tcPr>
          <w:p w14:paraId="50FEF420" w14:textId="77777777" w:rsidR="004D750E" w:rsidRPr="00DE3DCA" w:rsidRDefault="004D750E" w:rsidP="00DE3DCA">
            <w:pPr>
              <w:spacing w:line="240" w:lineRule="auto"/>
              <w:rPr>
                <w:sz w:val="22"/>
                <w:szCs w:val="22"/>
                <w:lang w:eastAsia="en-GB"/>
              </w:rPr>
            </w:pPr>
            <w:r>
              <w:rPr>
                <w:sz w:val="22"/>
                <w:szCs w:val="22"/>
                <w:lang w:eastAsia="en-GB"/>
              </w:rPr>
              <w:t>45.94</w:t>
            </w:r>
          </w:p>
        </w:tc>
        <w:tc>
          <w:tcPr>
            <w:tcW w:w="2126" w:type="dxa"/>
          </w:tcPr>
          <w:p w14:paraId="5FE8554D" w14:textId="77777777" w:rsidR="004D750E" w:rsidRPr="00DE3DCA" w:rsidRDefault="004D750E" w:rsidP="00DE3DCA">
            <w:pPr>
              <w:spacing w:line="240" w:lineRule="auto"/>
              <w:rPr>
                <w:sz w:val="22"/>
                <w:szCs w:val="22"/>
                <w:lang w:eastAsia="en-GB"/>
              </w:rPr>
            </w:pPr>
            <w:r>
              <w:rPr>
                <w:sz w:val="22"/>
                <w:szCs w:val="22"/>
                <w:lang w:eastAsia="en-GB"/>
              </w:rPr>
              <w:t>15.89</w:t>
            </w:r>
          </w:p>
        </w:tc>
        <w:tc>
          <w:tcPr>
            <w:tcW w:w="2784" w:type="dxa"/>
          </w:tcPr>
          <w:p w14:paraId="6F1D5777" w14:textId="77777777" w:rsidR="004D750E" w:rsidRPr="00DE3DCA" w:rsidRDefault="004D750E" w:rsidP="00DE3DCA">
            <w:pPr>
              <w:spacing w:line="240" w:lineRule="auto"/>
              <w:rPr>
                <w:sz w:val="22"/>
                <w:szCs w:val="22"/>
                <w:lang w:eastAsia="en-GB"/>
              </w:rPr>
            </w:pPr>
            <w:r>
              <w:rPr>
                <w:sz w:val="22"/>
                <w:szCs w:val="22"/>
                <w:lang w:eastAsia="en-GB"/>
              </w:rPr>
              <w:t>2.89</w:t>
            </w:r>
          </w:p>
        </w:tc>
      </w:tr>
    </w:tbl>
    <w:p w14:paraId="594A2309" w14:textId="77777777" w:rsidR="0067138C" w:rsidRDefault="004D750E" w:rsidP="00705887">
      <w:r>
        <w:t xml:space="preserve">DISCO effects are relative to Yola, the omitted reference category. </w:t>
      </w:r>
      <m:oMath>
        <m:sSub>
          <m:sSubPr>
            <m:ctrlPr>
              <w:rPr>
                <w:rFonts w:ascii="Cambria Math" w:hAnsi="Cambria Math"/>
                <w:i/>
              </w:rPr>
            </m:ctrlPr>
          </m:sSubPr>
          <m:e>
            <m:r>
              <w:rPr>
                <w:rFonts w:ascii="Cambria Math" w:hAnsi="Cambria Math"/>
              </w:rPr>
              <m:t>σ</m:t>
            </m:r>
          </m:e>
          <m:sub>
            <m:r>
              <w:rPr>
                <w:rFonts w:ascii="Cambria Math" w:hAnsi="Cambria Math"/>
              </w:rPr>
              <m:t>1</m:t>
            </m:r>
          </m:sub>
        </m:sSub>
      </m:oMath>
      <w:r>
        <w:t xml:space="preserve"> = 10.46, </w:t>
      </w:r>
      <m:oMath>
        <m:sSub>
          <m:sSubPr>
            <m:ctrlPr>
              <w:rPr>
                <w:rFonts w:ascii="Cambria Math" w:hAnsi="Cambria Math"/>
                <w:i/>
              </w:rPr>
            </m:ctrlPr>
          </m:sSubPr>
          <m:e>
            <m:r>
              <w:rPr>
                <w:rFonts w:ascii="Cambria Math" w:hAnsi="Cambria Math"/>
              </w:rPr>
              <m:t>σ</m:t>
            </m:r>
          </m:e>
          <m:sub>
            <m:r>
              <w:rPr>
                <w:rFonts w:ascii="Cambria Math" w:hAnsi="Cambria Math"/>
              </w:rPr>
              <m:t>2</m:t>
            </m:r>
          </m:sub>
        </m:sSub>
      </m:oMath>
      <w:r>
        <w:t>= 14.08. Log-likelihood: -621.96.</w:t>
      </w:r>
    </w:p>
    <w:p w14:paraId="0C2EF607" w14:textId="77777777" w:rsidR="004D750E" w:rsidRDefault="004D750E" w:rsidP="00AA11A5">
      <w:pPr>
        <w:rPr>
          <w:lang w:eastAsia="en-GB"/>
        </w:rPr>
      </w:pPr>
      <w:r>
        <w:rPr>
          <w:lang w:eastAsia="en-GB"/>
        </w:rPr>
        <w:lastRenderedPageBreak/>
        <w:t>Ln(IGR) is positive and precisely estimated: a DISCO whose franchise territory's formal economic activity is higher draws more from the grid, holding season constant. The interaction term is negative and similarly precise: the Lagos-area DISCOs show a smaller IGR elasticity than the rest of the network, discussed in Section 6.3. On the supply side, contracted capacity converts to deliverable supply at close to unit elasticity (0.74); plant availability, a single figure common to all DISCOs each quarter, carries no reliable explanatory power once DISCO fixed effects are included, discussed in Section 6.4. Eight of the ten estimated DISCO effects are significant at the 5 per cent level; the remaining two (Jos, Kaduna) clear a 10 per cent threshold. All ten are positive, consistent with each DISCO carrying a real baseline supply allocation above Yola's.</w:t>
      </w:r>
    </w:p>
    <w:p w14:paraId="00A11149" w14:textId="77777777" w:rsidR="00C402FD" w:rsidRPr="00AA11A5" w:rsidRDefault="00C402FD" w:rsidP="00AA11A5">
      <w:pPr>
        <w:rPr>
          <w:lang w:eastAsia="en-GB"/>
        </w:rPr>
      </w:pPr>
      <w:r>
        <w:rPr>
          <w:lang w:eastAsia="en-GB"/>
        </w:rPr>
        <w:t>This symmetry on the supply side is not mirrored on the demand side: as Section 6.4 reports, the observations that identify the demand equation's slope are concentrated in three of the eleven DISCOs, not spread evenly across the panel the way the supply-side fixed effects are.</w:t>
      </w:r>
    </w:p>
    <w:p w14:paraId="3E20CD79" w14:textId="77777777" w:rsidR="004407A1" w:rsidRPr="00AA11A5" w:rsidRDefault="00DE3DCA" w:rsidP="00AA11A5">
      <w:pPr>
        <w:pStyle w:val="Heading2"/>
        <w:numPr>
          <w:ilvl w:val="0"/>
          <w:numId w:val="0"/>
        </w:numPr>
        <w:rPr>
          <w:lang w:eastAsia="en-GB"/>
        </w:rPr>
      </w:pPr>
      <w:bookmarkStart w:id="12" w:name="_Toc240994337"/>
      <w:r>
        <w:rPr>
          <w:lang w:eastAsia="en-GB"/>
        </w:rPr>
        <w:t xml:space="preserve">6.3 </w:t>
      </w:r>
      <w:bookmarkEnd w:id="12"/>
      <w:r>
        <w:rPr>
          <w:lang w:eastAsia="en-GB"/>
        </w:rPr>
        <w:t>Specification search</w:t>
      </w:r>
    </w:p>
    <w:p w14:paraId="0B777E64" w14:textId="77777777" w:rsidR="00DE3DCA" w:rsidRDefault="00DE3DCA" w:rsidP="00AA11A5">
      <w:pPr>
        <w:rPr>
          <w:bCs/>
          <w:lang w:eastAsia="en-GB"/>
        </w:rPr>
      </w:pPr>
      <w:r>
        <w:rPr>
          <w:b/>
          <w:lang w:eastAsia="en-GB"/>
        </w:rPr>
        <w:t>Demand-side variables.</w:t>
      </w:r>
      <w:r>
        <w:rPr>
          <w:bCs/>
          <w:lang w:eastAsia="en-GB"/>
        </w:rPr>
        <w:t xml:space="preserve"> Six candidate variables were tested as drivers of cross-DISCO demand variation, each fit through the full estimation procedure rather than screened by simple correlation. Table 6 reports the outcome.</w:t>
      </w:r>
    </w:p>
    <w:p w14:paraId="023882B2" w14:textId="77777777" w:rsidR="004163BA" w:rsidRDefault="00000000">
      <w:pPr>
        <w:keepNext/>
        <w:spacing w:before="160" w:after="80"/>
      </w:pPr>
      <w:r>
        <w:rPr>
          <w:b/>
          <w:sz w:val="20"/>
          <w:szCs w:val="20"/>
        </w:rPr>
        <w:t>Table 6. Demand-side candidate variables tested.</w:t>
      </w:r>
    </w:p>
    <w:tbl>
      <w:tblPr>
        <w:tblStyle w:val="TableGrid"/>
        <w:tblW w:w="0" w:type="auto"/>
        <w:tblLook w:val="04A0" w:firstRow="1" w:lastRow="0" w:firstColumn="1" w:lastColumn="0" w:noHBand="0" w:noVBand="1"/>
      </w:tblPr>
      <w:tblGrid>
        <w:gridCol w:w="3823"/>
        <w:gridCol w:w="2187"/>
        <w:gridCol w:w="3006"/>
      </w:tblGrid>
      <w:tr w:rsidR="00DE3DCA" w:rsidRPr="00DE3DCA" w14:paraId="101589A5" w14:textId="77777777" w:rsidTr="00DE3DCA">
        <w:tc>
          <w:tcPr>
            <w:tcW w:w="3823" w:type="dxa"/>
          </w:tcPr>
          <w:p w14:paraId="4CFA9B43" w14:textId="77777777" w:rsidR="00DE3DCA" w:rsidRPr="00DE3DCA" w:rsidRDefault="00DE3DCA" w:rsidP="00DE3DCA">
            <w:pPr>
              <w:spacing w:line="240" w:lineRule="auto"/>
              <w:rPr>
                <w:b/>
                <w:bCs/>
                <w:sz w:val="22"/>
                <w:szCs w:val="22"/>
                <w:lang w:eastAsia="en-GB"/>
              </w:rPr>
            </w:pPr>
            <w:r>
              <w:rPr>
                <w:b/>
                <w:bCs/>
                <w:sz w:val="22"/>
                <w:szCs w:val="22"/>
                <w:lang w:eastAsia="en-GB"/>
              </w:rPr>
              <w:t>Candidate</w:t>
            </w:r>
          </w:p>
        </w:tc>
        <w:tc>
          <w:tcPr>
            <w:tcW w:w="2187" w:type="dxa"/>
          </w:tcPr>
          <w:p w14:paraId="452346D0" w14:textId="77777777" w:rsidR="00DE3DCA" w:rsidRPr="00DE3DCA" w:rsidRDefault="00DE3DCA" w:rsidP="00DE3DCA">
            <w:pPr>
              <w:spacing w:line="240" w:lineRule="auto"/>
              <w:rPr>
                <w:b/>
                <w:bCs/>
                <w:sz w:val="22"/>
                <w:szCs w:val="22"/>
                <w:lang w:eastAsia="en-GB"/>
              </w:rPr>
            </w:pPr>
            <w:r>
              <w:rPr>
                <w:b/>
                <w:bCs/>
                <w:sz w:val="22"/>
                <w:szCs w:val="22"/>
                <w:lang w:eastAsia="en-GB"/>
              </w:rPr>
              <w:t>Tested</w:t>
            </w:r>
          </w:p>
        </w:tc>
        <w:tc>
          <w:tcPr>
            <w:tcW w:w="3006" w:type="dxa"/>
          </w:tcPr>
          <w:p w14:paraId="75607280" w14:textId="77777777" w:rsidR="00DE3DCA" w:rsidRPr="00DE3DCA" w:rsidRDefault="00DE3DCA" w:rsidP="00DE3DCA">
            <w:pPr>
              <w:spacing w:line="240" w:lineRule="auto"/>
              <w:rPr>
                <w:b/>
                <w:bCs/>
                <w:sz w:val="22"/>
                <w:szCs w:val="22"/>
                <w:lang w:eastAsia="en-GB"/>
              </w:rPr>
            </w:pPr>
            <w:r>
              <w:rPr>
                <w:b/>
                <w:bCs/>
                <w:sz w:val="22"/>
                <w:szCs w:val="22"/>
                <w:lang w:eastAsia="en-GB"/>
              </w:rPr>
              <w:t>Outcome</w:t>
            </w:r>
          </w:p>
        </w:tc>
      </w:tr>
      <w:tr w:rsidR="00DE3DCA" w:rsidRPr="00DE3DCA" w14:paraId="1535ECE4" w14:textId="77777777" w:rsidTr="00DE3DCA">
        <w:tc>
          <w:tcPr>
            <w:tcW w:w="3823" w:type="dxa"/>
          </w:tcPr>
          <w:p w14:paraId="254E3D35" w14:textId="77777777" w:rsidR="00DE3DCA" w:rsidRPr="00DE3DCA" w:rsidRDefault="00DE3DCA" w:rsidP="00DE3DCA">
            <w:pPr>
              <w:spacing w:line="240" w:lineRule="auto"/>
              <w:rPr>
                <w:sz w:val="22"/>
                <w:szCs w:val="22"/>
                <w:lang w:eastAsia="en-GB"/>
              </w:rPr>
            </w:pPr>
            <w:r>
              <w:rPr>
                <w:sz w:val="22"/>
                <w:szCs w:val="22"/>
                <w:lang w:eastAsia="en-GB"/>
              </w:rPr>
              <w:t>Total Franchise Population</w:t>
            </w:r>
          </w:p>
        </w:tc>
        <w:tc>
          <w:tcPr>
            <w:tcW w:w="2187" w:type="dxa"/>
          </w:tcPr>
          <w:p w14:paraId="458EF1EC" w14:textId="77777777" w:rsidR="00DE3DCA" w:rsidRPr="00DE3DCA" w:rsidRDefault="00DE3DCA" w:rsidP="00DE3DCA">
            <w:pPr>
              <w:spacing w:line="240" w:lineRule="auto"/>
              <w:rPr>
                <w:sz w:val="22"/>
                <w:szCs w:val="22"/>
                <w:lang w:eastAsia="en-GB"/>
              </w:rPr>
            </w:pPr>
            <w:r>
              <w:rPr>
                <w:sz w:val="22"/>
                <w:szCs w:val="22"/>
                <w:lang w:eastAsia="en-GB"/>
              </w:rPr>
              <w:t>Alone</w:t>
            </w:r>
          </w:p>
        </w:tc>
        <w:tc>
          <w:tcPr>
            <w:tcW w:w="3006" w:type="dxa"/>
          </w:tcPr>
          <w:p w14:paraId="17E3B225" w14:textId="77777777" w:rsidR="00DE3DCA" w:rsidRPr="00DE3DCA" w:rsidRDefault="00DE3DCA" w:rsidP="00DE3DCA">
            <w:pPr>
              <w:spacing w:line="240" w:lineRule="auto"/>
              <w:rPr>
                <w:sz w:val="22"/>
                <w:szCs w:val="22"/>
                <w:lang w:eastAsia="en-GB"/>
              </w:rPr>
            </w:pPr>
            <w:r>
              <w:rPr>
                <w:sz w:val="22"/>
                <w:szCs w:val="22"/>
              </w:rPr>
              <w:t>Significant, wrong-signed</w:t>
            </w:r>
          </w:p>
        </w:tc>
      </w:tr>
      <w:tr w:rsidR="00DE3DCA" w:rsidRPr="00DE3DCA" w14:paraId="1C3A9A30" w14:textId="77777777" w:rsidTr="00DE3DCA">
        <w:tc>
          <w:tcPr>
            <w:tcW w:w="3823" w:type="dxa"/>
          </w:tcPr>
          <w:p w14:paraId="50CDAA30" w14:textId="77777777" w:rsidR="00DE3DCA" w:rsidRPr="00DE3DCA" w:rsidRDefault="00DE3DCA" w:rsidP="00DE3DCA">
            <w:pPr>
              <w:spacing w:line="240" w:lineRule="auto"/>
              <w:rPr>
                <w:sz w:val="22"/>
                <w:szCs w:val="22"/>
                <w:lang w:eastAsia="en-GB"/>
              </w:rPr>
            </w:pPr>
            <w:r>
              <w:rPr>
                <w:sz w:val="22"/>
                <w:szCs w:val="22"/>
                <w:lang w:eastAsia="en-GB"/>
              </w:rPr>
              <w:t>Population, urban-masked</w:t>
            </w:r>
          </w:p>
        </w:tc>
        <w:tc>
          <w:tcPr>
            <w:tcW w:w="2187" w:type="dxa"/>
          </w:tcPr>
          <w:p w14:paraId="7D06D896" w14:textId="77777777" w:rsidR="00DE3DCA" w:rsidRPr="00DE3DCA" w:rsidRDefault="00DE3DCA" w:rsidP="00DE3DCA">
            <w:pPr>
              <w:spacing w:line="240" w:lineRule="auto"/>
              <w:rPr>
                <w:sz w:val="22"/>
                <w:szCs w:val="22"/>
                <w:lang w:eastAsia="en-GB"/>
              </w:rPr>
            </w:pPr>
            <w:r>
              <w:rPr>
                <w:sz w:val="22"/>
                <w:szCs w:val="22"/>
                <w:lang w:eastAsia="en-GB"/>
              </w:rPr>
              <w:t>Alone</w:t>
            </w:r>
          </w:p>
        </w:tc>
        <w:tc>
          <w:tcPr>
            <w:tcW w:w="3006" w:type="dxa"/>
          </w:tcPr>
          <w:p w14:paraId="0AAFFAF1" w14:textId="77777777" w:rsidR="00DE3DCA" w:rsidRPr="00DE3DCA" w:rsidRDefault="00DE3DCA" w:rsidP="00DE3DCA">
            <w:pPr>
              <w:spacing w:line="240" w:lineRule="auto"/>
              <w:rPr>
                <w:sz w:val="22"/>
                <w:szCs w:val="22"/>
                <w:lang w:eastAsia="en-GB"/>
              </w:rPr>
            </w:pPr>
            <w:r>
              <w:rPr>
                <w:sz w:val="22"/>
                <w:szCs w:val="22"/>
              </w:rPr>
              <w:t>Significant, wrong-signed</w:t>
            </w:r>
          </w:p>
        </w:tc>
      </w:tr>
      <w:tr w:rsidR="00DE3DCA" w:rsidRPr="00DE3DCA" w14:paraId="4207F2DF" w14:textId="77777777" w:rsidTr="00DE3DCA">
        <w:tc>
          <w:tcPr>
            <w:tcW w:w="3823" w:type="dxa"/>
          </w:tcPr>
          <w:p w14:paraId="0F39E47B" w14:textId="77777777" w:rsidR="00DE3DCA" w:rsidRPr="00DE3DCA" w:rsidRDefault="00DE3DCA" w:rsidP="00DE3DCA">
            <w:pPr>
              <w:spacing w:line="240" w:lineRule="auto"/>
              <w:rPr>
                <w:sz w:val="22"/>
                <w:szCs w:val="22"/>
                <w:lang w:eastAsia="en-GB"/>
              </w:rPr>
            </w:pPr>
            <w:r>
              <w:rPr>
                <w:sz w:val="22"/>
                <w:szCs w:val="22"/>
                <w:lang w:eastAsia="en-GB"/>
              </w:rPr>
              <w:t>Built-up surface area</w:t>
            </w:r>
          </w:p>
        </w:tc>
        <w:tc>
          <w:tcPr>
            <w:tcW w:w="2187" w:type="dxa"/>
          </w:tcPr>
          <w:p w14:paraId="3AFEE946" w14:textId="77777777" w:rsidR="00DE3DCA" w:rsidRPr="00DE3DCA" w:rsidRDefault="00DE3DCA" w:rsidP="00DE3DCA">
            <w:pPr>
              <w:spacing w:line="240" w:lineRule="auto"/>
              <w:rPr>
                <w:sz w:val="22"/>
                <w:szCs w:val="22"/>
                <w:lang w:eastAsia="en-GB"/>
              </w:rPr>
            </w:pPr>
            <w:r>
              <w:rPr>
                <w:sz w:val="22"/>
                <w:szCs w:val="22"/>
                <w:lang w:eastAsia="en-GB"/>
              </w:rPr>
              <w:t>Alone; with IGR</w:t>
            </w:r>
          </w:p>
        </w:tc>
        <w:tc>
          <w:tcPr>
            <w:tcW w:w="3006" w:type="dxa"/>
          </w:tcPr>
          <w:p w14:paraId="6047EACF" w14:textId="77777777" w:rsidR="00DE3DCA" w:rsidRPr="00DE3DCA" w:rsidRDefault="00DE3DCA" w:rsidP="00DE3DCA">
            <w:pPr>
              <w:spacing w:line="240" w:lineRule="auto"/>
              <w:jc w:val="left"/>
              <w:rPr>
                <w:sz w:val="22"/>
                <w:szCs w:val="22"/>
                <w:lang w:eastAsia="en-GB"/>
              </w:rPr>
            </w:pPr>
            <w:r>
              <w:rPr>
                <w:sz w:val="22"/>
                <w:szCs w:val="22"/>
                <w:lang w:eastAsia="en-GB"/>
              </w:rPr>
              <w:t>Not significant alone; unstable sign when combined with IGR</w:t>
            </w:r>
          </w:p>
        </w:tc>
      </w:tr>
      <w:tr w:rsidR="00DE3DCA" w:rsidRPr="00DE3DCA" w14:paraId="741647AE" w14:textId="77777777" w:rsidTr="00DE3DCA">
        <w:tc>
          <w:tcPr>
            <w:tcW w:w="3823" w:type="dxa"/>
          </w:tcPr>
          <w:p w14:paraId="45FD2F86" w14:textId="77777777" w:rsidR="00DE3DCA" w:rsidRPr="00DE3DCA" w:rsidRDefault="00DE3DCA" w:rsidP="00DE3DCA">
            <w:pPr>
              <w:spacing w:line="240" w:lineRule="auto"/>
              <w:rPr>
                <w:sz w:val="22"/>
                <w:szCs w:val="22"/>
                <w:lang w:eastAsia="en-GB"/>
              </w:rPr>
            </w:pPr>
            <w:r>
              <w:rPr>
                <w:sz w:val="22"/>
                <w:szCs w:val="22"/>
                <w:lang w:eastAsia="en-GB"/>
              </w:rPr>
              <w:t>Built-up surface, residential-only</w:t>
            </w:r>
          </w:p>
        </w:tc>
        <w:tc>
          <w:tcPr>
            <w:tcW w:w="2187" w:type="dxa"/>
          </w:tcPr>
          <w:p w14:paraId="1D1511B5" w14:textId="77777777" w:rsidR="00DE3DCA" w:rsidRPr="00DE3DCA" w:rsidRDefault="00DE3DCA" w:rsidP="00DE3DCA">
            <w:pPr>
              <w:spacing w:line="240" w:lineRule="auto"/>
              <w:rPr>
                <w:sz w:val="22"/>
                <w:szCs w:val="22"/>
                <w:lang w:eastAsia="en-GB"/>
              </w:rPr>
            </w:pPr>
            <w:r>
              <w:rPr>
                <w:sz w:val="22"/>
                <w:szCs w:val="22"/>
                <w:lang w:eastAsia="en-GB"/>
              </w:rPr>
              <w:t>Alone</w:t>
            </w:r>
          </w:p>
        </w:tc>
        <w:tc>
          <w:tcPr>
            <w:tcW w:w="3006" w:type="dxa"/>
          </w:tcPr>
          <w:p w14:paraId="4C55010E" w14:textId="77777777" w:rsidR="00DE3DCA" w:rsidRPr="00DE3DCA" w:rsidRDefault="00DE3DCA" w:rsidP="00DE3DCA">
            <w:pPr>
              <w:spacing w:line="240" w:lineRule="auto"/>
              <w:rPr>
                <w:sz w:val="22"/>
                <w:szCs w:val="22"/>
                <w:lang w:eastAsia="en-GB"/>
              </w:rPr>
            </w:pPr>
            <w:r>
              <w:rPr>
                <w:sz w:val="22"/>
                <w:szCs w:val="22"/>
              </w:rPr>
              <w:t>Statistically identical to total built-up area</w:t>
            </w:r>
          </w:p>
        </w:tc>
      </w:tr>
      <w:tr w:rsidR="00DE3DCA" w:rsidRPr="00DE3DCA" w14:paraId="33B75F99" w14:textId="77777777" w:rsidTr="00DE3DCA">
        <w:tc>
          <w:tcPr>
            <w:tcW w:w="3823" w:type="dxa"/>
          </w:tcPr>
          <w:p w14:paraId="15C8D700" w14:textId="77777777" w:rsidR="00DE3DCA" w:rsidRPr="00DE3DCA" w:rsidRDefault="00DE3DCA" w:rsidP="00DE3DCA">
            <w:pPr>
              <w:spacing w:line="240" w:lineRule="auto"/>
              <w:rPr>
                <w:sz w:val="22"/>
                <w:szCs w:val="22"/>
                <w:lang w:eastAsia="en-GB"/>
              </w:rPr>
            </w:pPr>
            <w:r>
              <w:rPr>
                <w:sz w:val="22"/>
                <w:szCs w:val="22"/>
                <w:lang w:eastAsia="en-GB"/>
              </w:rPr>
              <w:lastRenderedPageBreak/>
              <w:t>Nighttime lights (VIIRS)</w:t>
            </w:r>
          </w:p>
        </w:tc>
        <w:tc>
          <w:tcPr>
            <w:tcW w:w="2187" w:type="dxa"/>
          </w:tcPr>
          <w:p w14:paraId="54ECC6FB" w14:textId="77777777" w:rsidR="00DE3DCA" w:rsidRPr="00DE3DCA" w:rsidRDefault="00DE3DCA" w:rsidP="00DE3DCA">
            <w:pPr>
              <w:spacing w:line="240" w:lineRule="auto"/>
              <w:rPr>
                <w:sz w:val="22"/>
                <w:szCs w:val="22"/>
                <w:lang w:eastAsia="en-GB"/>
              </w:rPr>
            </w:pPr>
            <w:r>
              <w:rPr>
                <w:sz w:val="22"/>
                <w:szCs w:val="22"/>
                <w:lang w:eastAsia="en-GB"/>
              </w:rPr>
              <w:t>Alone; with IGR</w:t>
            </w:r>
          </w:p>
        </w:tc>
        <w:tc>
          <w:tcPr>
            <w:tcW w:w="3006" w:type="dxa"/>
          </w:tcPr>
          <w:p w14:paraId="1A9A7CED" w14:textId="77777777" w:rsidR="00DE3DCA" w:rsidRPr="00DE3DCA" w:rsidRDefault="00E242CF" w:rsidP="00DE3DCA">
            <w:pPr>
              <w:spacing w:line="240" w:lineRule="auto"/>
              <w:jc w:val="left"/>
              <w:rPr>
                <w:sz w:val="22"/>
                <w:szCs w:val="22"/>
                <w:lang w:eastAsia="en-GB"/>
              </w:rPr>
            </w:pPr>
            <w:r>
              <w:rPr>
                <w:sz w:val="22"/>
                <w:szCs w:val="22"/>
                <w:lang w:eastAsia="en-GB"/>
              </w:rPr>
              <w:t>A bit significant alone; sign reversed when combined with IGR</w:t>
            </w:r>
          </w:p>
        </w:tc>
      </w:tr>
      <w:tr w:rsidR="00DE3DCA" w:rsidRPr="00DE3DCA" w14:paraId="47FD42B7" w14:textId="77777777" w:rsidTr="00DE3DCA">
        <w:tc>
          <w:tcPr>
            <w:tcW w:w="3823" w:type="dxa"/>
          </w:tcPr>
          <w:p w14:paraId="1CDB3FB5" w14:textId="77777777" w:rsidR="00DE3DCA" w:rsidRPr="00DE3DCA" w:rsidRDefault="00DE3DCA" w:rsidP="00DE3DCA">
            <w:pPr>
              <w:spacing w:line="240" w:lineRule="auto"/>
              <w:jc w:val="left"/>
              <w:rPr>
                <w:sz w:val="22"/>
                <w:szCs w:val="22"/>
                <w:lang w:eastAsia="en-GB"/>
              </w:rPr>
            </w:pPr>
            <w:r>
              <w:rPr>
                <w:sz w:val="22"/>
                <w:szCs w:val="22"/>
                <w:lang w:eastAsia="en-GB"/>
              </w:rPr>
              <w:t>New customer connections (quarterly change)</w:t>
            </w:r>
          </w:p>
        </w:tc>
        <w:tc>
          <w:tcPr>
            <w:tcW w:w="2187" w:type="dxa"/>
          </w:tcPr>
          <w:p w14:paraId="2227D567" w14:textId="77777777" w:rsidR="00DE3DCA" w:rsidRPr="00DE3DCA" w:rsidRDefault="00DE3DCA" w:rsidP="00DE3DCA">
            <w:pPr>
              <w:spacing w:line="240" w:lineRule="auto"/>
              <w:rPr>
                <w:sz w:val="22"/>
                <w:szCs w:val="22"/>
                <w:lang w:eastAsia="en-GB"/>
              </w:rPr>
            </w:pPr>
            <w:r>
              <w:rPr>
                <w:sz w:val="22"/>
                <w:szCs w:val="22"/>
                <w:lang w:eastAsia="en-GB"/>
              </w:rPr>
              <w:t>Alone; with IGR</w:t>
            </w:r>
          </w:p>
        </w:tc>
        <w:tc>
          <w:tcPr>
            <w:tcW w:w="3006" w:type="dxa"/>
          </w:tcPr>
          <w:p w14:paraId="6D32914E" w14:textId="77777777" w:rsidR="00DE3DCA" w:rsidRPr="00DE3DCA" w:rsidRDefault="00DE3DCA" w:rsidP="00DE3DCA">
            <w:pPr>
              <w:spacing w:line="240" w:lineRule="auto"/>
              <w:jc w:val="left"/>
              <w:rPr>
                <w:sz w:val="22"/>
                <w:szCs w:val="22"/>
                <w:lang w:eastAsia="en-GB"/>
              </w:rPr>
            </w:pPr>
            <w:r>
              <w:rPr>
                <w:sz w:val="22"/>
                <w:szCs w:val="22"/>
                <w:lang w:eastAsia="en-GB"/>
              </w:rPr>
              <w:t>Not significant either specification</w:t>
            </w:r>
          </w:p>
        </w:tc>
      </w:tr>
      <w:tr w:rsidR="00DE3DCA" w:rsidRPr="00DE3DCA" w14:paraId="7B6F5476" w14:textId="77777777" w:rsidTr="00DE3DCA">
        <w:tc>
          <w:tcPr>
            <w:tcW w:w="3823" w:type="dxa"/>
          </w:tcPr>
          <w:p w14:paraId="59F5372D" w14:textId="77777777" w:rsidR="00DE3DCA" w:rsidRPr="00DE3DCA" w:rsidRDefault="00DE3DCA" w:rsidP="00DE3DCA">
            <w:pPr>
              <w:spacing w:line="240" w:lineRule="auto"/>
              <w:rPr>
                <w:sz w:val="22"/>
                <w:szCs w:val="22"/>
                <w:lang w:eastAsia="en-GB"/>
              </w:rPr>
            </w:pPr>
            <w:r>
              <w:rPr>
                <w:sz w:val="22"/>
                <w:szCs w:val="22"/>
                <w:lang w:eastAsia="en-GB"/>
              </w:rPr>
              <w:t>State IGR</w:t>
            </w:r>
          </w:p>
        </w:tc>
        <w:tc>
          <w:tcPr>
            <w:tcW w:w="2187" w:type="dxa"/>
          </w:tcPr>
          <w:p w14:paraId="2F52AB3D" w14:textId="77777777" w:rsidR="00DE3DCA" w:rsidRPr="00DE3DCA" w:rsidRDefault="00DE3DCA" w:rsidP="00DE3DCA">
            <w:pPr>
              <w:spacing w:line="240" w:lineRule="auto"/>
              <w:rPr>
                <w:sz w:val="22"/>
                <w:szCs w:val="22"/>
                <w:lang w:eastAsia="en-GB"/>
              </w:rPr>
            </w:pPr>
            <w:r>
              <w:rPr>
                <w:sz w:val="22"/>
                <w:szCs w:val="22"/>
                <w:lang w:eastAsia="en-GB"/>
              </w:rPr>
              <w:t>Alone; with each of the aforementioned</w:t>
            </w:r>
          </w:p>
        </w:tc>
        <w:tc>
          <w:tcPr>
            <w:tcW w:w="3006" w:type="dxa"/>
          </w:tcPr>
          <w:p w14:paraId="11802099" w14:textId="77777777" w:rsidR="00DE3DCA" w:rsidRPr="00DE3DCA" w:rsidRDefault="00DE3DCA" w:rsidP="00DE3DCA">
            <w:pPr>
              <w:spacing w:line="240" w:lineRule="auto"/>
              <w:jc w:val="left"/>
              <w:rPr>
                <w:sz w:val="22"/>
                <w:szCs w:val="22"/>
                <w:lang w:eastAsia="en-GB"/>
              </w:rPr>
            </w:pPr>
            <w:r>
              <w:rPr>
                <w:sz w:val="22"/>
                <w:szCs w:val="22"/>
              </w:rPr>
              <w:t>Significant, correctly signed, stable across every combination</w:t>
            </w:r>
          </w:p>
        </w:tc>
      </w:tr>
    </w:tbl>
    <w:p w14:paraId="79082C9F" w14:textId="77777777" w:rsidR="00DE3DCA" w:rsidRPr="00DE3DCA" w:rsidRDefault="00DE3DCA" w:rsidP="00AA11A5">
      <w:pPr>
        <w:rPr>
          <w:lang w:eastAsia="en-GB"/>
        </w:rPr>
      </w:pPr>
    </w:p>
    <w:p w14:paraId="49A4D668" w14:textId="77777777" w:rsidR="00DE3DCA" w:rsidRDefault="00DE3DCA" w:rsidP="00DE3DCA">
      <w:pPr>
        <w:rPr>
          <w:lang w:eastAsia="en-GB"/>
        </w:rPr>
      </w:pPr>
      <w:r>
        <w:rPr>
          <w:lang w:eastAsia="en-GB"/>
        </w:rPr>
        <w:t>Population, in both raw and urban-masked form, is significant but wrong-signed: DISCOs covering larger, more rural franchise territories show lower estimated demand, the opposite of what a demand-scale variable should show. This is consistent with such territories combining low economic density with large land area rather than genuinely low demand. Built-up land area and its residential-only variant carry no independent signal once tested properly, and nighttime lights (significant on its own) reverse sign when paired with IGR, indicating the two are capturing overlapping variation rather than distinct information. None of the six candidates identifies a demand-side effect distinct from formal economic activity, a limit of what the available data can separately identify.</w:t>
      </w:r>
    </w:p>
    <w:p w14:paraId="53C23D5B" w14:textId="77777777" w:rsidR="00A820BD" w:rsidRDefault="00DE3DCA" w:rsidP="00AA11A5">
      <w:pPr>
        <w:rPr>
          <w:lang w:eastAsia="en-GB"/>
        </w:rPr>
      </w:pPr>
      <w:r>
        <w:rPr>
          <w:lang w:eastAsia="en-GB"/>
        </w:rPr>
        <w:t>Group interactions. Two departures from a single, pooled demand elasticity were tested. Allowing the IGR elasticity to differ for the Lagos-area DISCOs (Eko, Ikeja) improved the Akaike Information Criterion by 12.4 points over the pooled specification (a substantial gain given the one additional parameter) and is retained in the reported specification (Table 4). Allowing the seasonal shape, rather than the IGR elasticity, to differ by DISCO grouping was tested twice: once for the same Lagos-area split, once for a north–south climate split. Neither improved the fit; the Lagos-area seasonal interaction left the log-likelihood unchanged to four decimal places, and the north–south interaction produced standard errors that could not be computed, indicating the additional parameters were not identified by the data. Both are excluded from the reported specification.</w:t>
      </w:r>
    </w:p>
    <w:p w14:paraId="5DB8A346" w14:textId="77777777" w:rsidR="008B01B8" w:rsidRPr="00AA11A5" w:rsidRDefault="008B01B8" w:rsidP="00AA11A5">
      <w:pPr>
        <w:rPr>
          <w:lang w:eastAsia="en-GB"/>
        </w:rPr>
      </w:pPr>
      <w:r>
        <w:rPr>
          <w:noProof/>
          <w:lang w:eastAsia="en-GB"/>
        </w:rPr>
        <w:lastRenderedPageBreak/>
        <w:drawing>
          <wp:inline distT="0" distB="0" distL="0" distR="0" wp14:anchorId="627A1C87" wp14:editId="221DDB93">
            <wp:extent cx="5731510" cy="3526790"/>
            <wp:effectExtent l="0" t="0" r="0" b="3810"/>
            <wp:docPr id="14557110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711030" name="Picture 1455711030"/>
                    <pic:cNvPicPr/>
                  </pic:nvPicPr>
                  <pic:blipFill>
                    <a:blip r:embed="rId10">
                      <a:extLst>
                        <a:ext uri="{28A0092B-C50C-407E-A947-70E740481C1C}">
                          <a14:useLocalDpi xmlns:a14="http://schemas.microsoft.com/office/drawing/2010/main" val="0"/>
                        </a:ext>
                      </a:extLst>
                    </a:blip>
                    <a:stretch>
                      <a:fillRect/>
                    </a:stretch>
                  </pic:blipFill>
                  <pic:spPr>
                    <a:xfrm>
                      <a:off x="0" y="0"/>
                      <a:ext cx="5731510" cy="3526790"/>
                    </a:xfrm>
                    <a:prstGeom prst="rect">
                      <a:avLst/>
                    </a:prstGeom>
                  </pic:spPr>
                </pic:pic>
              </a:graphicData>
            </a:graphic>
          </wp:inline>
        </w:drawing>
      </w:r>
    </w:p>
    <w:p w14:paraId="0F5C9EC2" w14:textId="77777777" w:rsidR="004163BA" w:rsidRDefault="00000000">
      <w:pPr>
        <w:spacing w:after="200"/>
        <w:jc w:val="center"/>
      </w:pPr>
      <w:r>
        <w:rPr>
          <w:i/>
          <w:sz w:val="18"/>
          <w:szCs w:val="18"/>
        </w:rPr>
        <w:t>Figure 2. Estimated seasonal component of demand across the four quarters, centred on its mean.</w:t>
      </w:r>
    </w:p>
    <w:p w14:paraId="6F432249" w14:textId="77777777" w:rsidR="00082B21" w:rsidRPr="00AA11A5" w:rsidRDefault="00E242CF" w:rsidP="00AA11A5">
      <w:pPr>
        <w:pStyle w:val="Heading2"/>
        <w:numPr>
          <w:ilvl w:val="0"/>
          <w:numId w:val="0"/>
        </w:numPr>
        <w:rPr>
          <w:lang w:eastAsia="en-GB"/>
        </w:rPr>
      </w:pPr>
      <w:bookmarkStart w:id="13" w:name="_Toc157591809"/>
      <w:bookmarkStart w:id="14" w:name="_Toc240994338"/>
      <w:r>
        <w:rPr>
          <w:lang w:eastAsia="en-GB"/>
        </w:rPr>
        <w:t xml:space="preserve">6.4 </w:t>
      </w:r>
      <w:bookmarkEnd w:id="13"/>
      <w:bookmarkEnd w:id="14"/>
      <w:r>
        <w:rPr>
          <w:lang w:eastAsia="en-GB"/>
        </w:rPr>
        <w:t>Robustness</w:t>
      </w:r>
    </w:p>
    <w:p w14:paraId="7D8731FE" w14:textId="77777777" w:rsidR="00E242CF" w:rsidRDefault="00E242CF" w:rsidP="00E242CF">
      <w:pPr>
        <w:rPr>
          <w:lang w:eastAsia="en-GB"/>
        </w:rPr>
      </w:pPr>
      <w:r>
        <w:rPr>
          <w:b/>
          <w:bCs/>
          <w:lang w:eastAsia="en-GB"/>
        </w:rPr>
        <w:t>Reference year and time variation.</w:t>
      </w:r>
      <w:r>
        <w:rPr>
          <w:lang w:eastAsia="en-GB"/>
        </w:rPr>
        <w:t xml:space="preserve"> The headline specification uses a single, static 2023 cross-section of IGR. Two questions arise: does the choice of reference year matter, and does using IGR's actual year-to-year movement instead of a fixed snapshot change the result? Neither does materially. Re-estimating with 2022 or 2024 in place of 2023 leaves the IGR coefficient, log-likelihood, and implied demand gap effectively unchanged (173.0–173.1 GW-scale coefficient across all three years). A fully time-varying specification, using each observation's own year's IGR rather than a fixed 2023 snapshot, produces a marginally better fit and a coefficient in the same range, at some cost to precision given only three years of usable annual variation. A further specification lagging the assigned IGR value by one year (on the reasoning that a given year's IGR may not be known to economic agents until partway through the following year) produced an unstable, wrong-signed estimate and is not reported as a reliable result; the instability persisted after expanding the underlying IGR series back to 2016, ruling out insufficient data as the cause.</w:t>
      </w:r>
    </w:p>
    <w:p w14:paraId="4695D7A2" w14:textId="77777777" w:rsidR="00E242CF" w:rsidRDefault="00E242CF" w:rsidP="00E242CF">
      <w:pPr>
        <w:rPr>
          <w:lang w:eastAsia="en-GB"/>
        </w:rPr>
      </w:pPr>
      <w:r>
        <w:rPr>
          <w:b/>
          <w:bCs/>
          <w:lang w:eastAsia="en-GB"/>
        </w:rPr>
        <w:t>The April 2024 tariff order.</w:t>
      </w:r>
      <w:r>
        <w:rPr>
          <w:lang w:eastAsia="en-GB"/>
        </w:rPr>
        <w:t xml:space="preserve"> NERC's Band A tariff increase, effective April 2024, raised the possibility that the demand equation's independence from price-like shocks is violated for a subset of high-consumption customers. Adding a post-April-2024 indicator to the demand </w:t>
      </w:r>
      <w:r>
        <w:rPr>
          <w:lang w:eastAsia="en-GB"/>
        </w:rPr>
        <w:lastRenderedPageBreak/>
        <w:t>equation, and separately an interaction between that indicator and IGR, produces no statistically detectable shift: the level-shift specification is preferred by neither the data nor the Akaike criterion over the specification without it, and the interaction specification could not be estimated reliably. The shock is not detectable at the DISCO-quarter level of aggregation used here, plausibly because it affects a customer class narrower than the aggregation captures, or because its effect was smaller or shorter-lived than initially assumed.</w:t>
      </w:r>
    </w:p>
    <w:p w14:paraId="7D7E2D27" w14:textId="77777777" w:rsidR="00D5709B" w:rsidRDefault="00E242CF" w:rsidP="00E242CF">
      <w:pPr>
        <w:rPr>
          <w:lang w:eastAsia="en-GB"/>
        </w:rPr>
      </w:pPr>
      <w:r>
        <w:rPr>
          <w:b/>
          <w:bCs/>
          <w:lang w:eastAsia="en-GB"/>
        </w:rPr>
        <w:t>Standard errors.</w:t>
      </w:r>
      <w:r>
        <w:rPr>
          <w:lang w:eastAsia="en-GB"/>
        </w:rPr>
        <w:t xml:space="preserve"> Clustering by DISCO (Table 4) tightens rather than widens the demand-side standard errors relative to the naive case. This is the expected outcome, not an anomaly, when residuals within a cluster are negatively rather than positively correlated over time, plausible here given that DISCOs move between demand- and supply-constrained regimes rather than sitting persistently in one, so a period of over-prediction is often followed by under-prediction within the same DISCO rather than by another over-prediction.</w:t>
      </w:r>
    </w:p>
    <w:p w14:paraId="6C97200F" w14:textId="77777777" w:rsidR="003559E3" w:rsidRPr="003559E3" w:rsidRDefault="003559E3" w:rsidP="003559E3">
      <w:pPr>
        <w:rPr>
          <w:lang w:val="en-NG" w:eastAsia="en-GB"/>
        </w:rPr>
      </w:pPr>
      <w:r>
        <w:rPr>
          <w:b/>
          <w:bCs/>
          <w:lang w:val="en-NG" w:eastAsia="en-GB"/>
        </w:rPr>
        <w:t>Regime composition, out-of-sample accuracy, and leave-one-out stability.</w:t>
      </w:r>
      <w:r>
        <w:rPr>
          <w:lang w:val="en-NG" w:eastAsia="en-GB"/>
        </w:rPr>
        <w:t xml:space="preserve"> Across the full 154-observation panel, 10 DISCO-quarters (6.5 per cent) are classified as demand-constrained (π_demand &gt; 0.5); the remaining 144 are supply-constrained. These observations are concentrated in three DISCOs, Abuja, Eko, and Ikeja, and no others; every other DISCO in the panel is classified as supply-constrained in all fourteen quarters. The demand equation's identification therefore rests on a narrow slice of the data.</w:t>
      </w:r>
    </w:p>
    <w:p w14:paraId="7CB5D90E" w14:textId="77777777" w:rsidR="003559E3" w:rsidRPr="003559E3" w:rsidRDefault="003559E3" w:rsidP="003559E3">
      <w:pPr>
        <w:rPr>
          <w:lang w:val="en-NG" w:eastAsia="en-GB"/>
        </w:rPr>
      </w:pPr>
      <w:r>
        <w:rPr>
          <w:lang w:val="en-NG" w:eastAsia="en-GB"/>
        </w:rPr>
        <w:t>The out-of-sample test is consistent with this split at a smaller scale. The model was re-estimated on the first eleven quarters of the panel (2022Q4–2025Q2) and used to predict the final three, held out entirely from estimation. Predicted offtake differs from actual offtake by 7.6 per cent on average, 7.1 per cent among held-out supply-constrained observations (n=26) and 9.6 per cent among held-out demand-constrained observations (n=7), the latter figure resting on as few observations as the full-sample regime split would predict.</w:t>
      </w:r>
    </w:p>
    <w:p w14:paraId="6754E6CB" w14:textId="77777777" w:rsidR="00A820BD" w:rsidRPr="003559E3" w:rsidRDefault="003559E3" w:rsidP="00A820BD">
      <w:pPr>
        <w:rPr>
          <w:lang w:val="en-NG" w:eastAsia="en-GB"/>
        </w:rPr>
      </w:pPr>
      <w:r>
        <w:rPr>
          <w:lang w:val="en-NG" w:eastAsia="en-GB"/>
        </w:rPr>
        <w:t xml:space="preserve">The consequence of this concentration was tested directly. The demand coefficients were re-estimated eleven times, each excluding one DISCO's data entirely, and fourteen times, each excluding one quarter; each refitted set of coefficients was then evaluated on the full, unchanged panel to isolate genuine coefficient sensitivity from the mechanical effect of removing a DISCO's own contribution to the national total. Excluding any of the eight DISCOs with no demand-constrained observations changes the resulting gap by at most 0.30 GW and the IGR coefficient by less than 2 per cent. Excluding any of the three that carry the panel's </w:t>
      </w:r>
      <w:r>
        <w:rPr>
          <w:lang w:val="en-NG" w:eastAsia="en-GB"/>
        </w:rPr>
        <w:lastRenderedPageBreak/>
        <w:t>demand-constrained observations changes both substantially: without Abuja, the IGR coefficient rises from 173 to 200 and the Lagos-area interaction nearly disappears (−2.9 to −0.4), and the gap falls to 0.52 GW; without Eko or Ikeja, the IGR coefficient rises to roughly 250 and the gap falls to 1.40–1.48 GW. The quarterly exclusions show the same pattern, concentrated in the quarters where these three DISCOs' demand-revealing observations occur. Across all twenty-five refits, the gap ranges from 0.52 to 2.21 GW (Appendix Table A1). The headline estimate is not broadly supported across the panel: it is anchored to three DISCOs' revealed behaviour.</w:t>
      </w:r>
    </w:p>
    <w:p w14:paraId="3F26EB90" w14:textId="77777777" w:rsidR="00A820BD" w:rsidRPr="00AA11A5" w:rsidRDefault="000E566A" w:rsidP="00A820BD">
      <w:pPr>
        <w:pStyle w:val="Heading2"/>
        <w:numPr>
          <w:ilvl w:val="0"/>
          <w:numId w:val="0"/>
        </w:numPr>
        <w:rPr>
          <w:lang w:eastAsia="en-GB"/>
        </w:rPr>
      </w:pPr>
      <w:bookmarkStart w:id="15" w:name="_Toc240994339"/>
      <w:r>
        <w:rPr>
          <w:lang w:eastAsia="en-GB"/>
        </w:rPr>
        <w:t xml:space="preserve">6.5 </w:t>
      </w:r>
      <w:bookmarkEnd w:id="15"/>
      <w:r>
        <w:rPr>
          <w:lang w:eastAsia="en-GB"/>
        </w:rPr>
        <w:t>The independence assumption</w:t>
      </w:r>
    </w:p>
    <w:p w14:paraId="5327C9C7" w14:textId="77777777" w:rsidR="00D5709B" w:rsidRDefault="00D5709B" w:rsidP="00D5709B">
      <w:pPr>
        <w:rPr>
          <w:lang w:eastAsia="en-GB"/>
        </w:rPr>
      </w:pPr>
      <w:r>
        <w:rPr>
          <w:lang w:eastAsia="en-GB"/>
        </w:rPr>
        <w:t>Model 1 assumes the demand and supply disturbances are independent. This assumption was tested directly by re-estimating the model with their correlation, ρ, as a free parameter rather than fixed at zero.</w:t>
      </w:r>
    </w:p>
    <w:p w14:paraId="3874C8A9" w14:textId="77777777" w:rsidR="00D5709B" w:rsidRDefault="00D5709B" w:rsidP="00D5709B">
      <w:pPr>
        <w:rPr>
          <w:lang w:eastAsia="en-GB"/>
        </w:rPr>
      </w:pPr>
      <w:r>
        <w:rPr>
          <w:lang w:eastAsia="en-GB"/>
        </w:rPr>
        <w:t>The estimate is uninformative. Every converged run returns ρ at or beyond -0.9999 (the edge of the range the optimiser was permitted to search) regardless of the range's width: widening the permissible bound from \pm 0.9999 to \pm 0.99999966 moved the estimate to the new edge rather than settling at an interior value, and excluding the panel's most extreme observations (the DISCO-quarters with offtake exceeding contracted capacity) produced the same boundary result. A parameter that consistently pins at whatever limit it is given, rather than settling within it, is not being estimated so much as it is failing to be identified: standard inference (the t-statistic and likelihood-ratio test that would ordinarily accompany a boundary estimate) does not apply when the true value may lie outside the region the data can distinguish from the boundary itself.</w:t>
      </w:r>
    </w:p>
    <w:p w14:paraId="7342CE6A" w14:textId="77777777" w:rsidR="00D5709B" w:rsidRDefault="00D5709B" w:rsidP="00D5709B">
      <w:pPr>
        <w:rPr>
          <w:lang w:eastAsia="en-GB"/>
        </w:rPr>
      </w:pPr>
      <w:r>
        <w:rPr>
          <w:lang w:eastAsia="en-GB"/>
        </w:rPr>
        <w:t xml:space="preserve">Because ρ cannot be estimated freely, its consequence for the headline figure was instead assessed directly, by fixing ρ at a small set of plausible values and re-estimating everything else. Table 7 reports the result. The response is asymmetric. Positive correlation moves the demand ceiling only marginally: at ρ = 0.50, D̂ falls from 5.34 to 5.31 GW. Negative correlation moves it considerably more: at ρ = −0.50, D̂ falls to 4.58 GW and the gap to 1.15 GW, a reduction of about two-fifths from the headline figure. This asymmetry is consistent with the direction the free estimate always moved toward: every unconstrained run of ρ pushed toward strongly negative values, never positive, so fixing ρ in that direction pulls the model toward </w:t>
      </w:r>
      <w:r>
        <w:rPr>
          <w:lang w:eastAsia="en-GB"/>
        </w:rPr>
        <w:lastRenderedPageBreak/>
        <w:t>where it was already straining to go, while a positive value pulls against that tendency and the estimate barely shifts.</w:t>
      </w:r>
    </w:p>
    <w:p w14:paraId="64F59C3C" w14:textId="77777777" w:rsidR="00D5709B" w:rsidRDefault="00D5709B" w:rsidP="00D5709B">
      <w:pPr>
        <w:keepNext/>
        <w:spacing w:before="160" w:after="80"/>
      </w:pPr>
      <w:r>
        <w:rPr>
          <w:b/>
          <w:sz w:val="20"/>
          <w:szCs w:val="20"/>
        </w:rPr>
        <w:t>Table 7. Estimated demand ceiling and suppressed-demand gap under fixed values of shock correlation</w:t>
      </w:r>
      <w:r>
        <w:rPr>
          <w:rFonts w:ascii="Cambria Math" w:hAnsi="Cambria Math"/>
          <w:b/>
          <w:bCs/>
          <w:i/>
          <w:lang w:eastAsia="en-GB"/>
        </w:rPr>
        <w:t xml:space="preserve"> </w:t>
      </w:r>
      <m:oMath>
        <m:r>
          <m:rPr>
            <m:sty m:val="bi"/>
          </m:rPr>
          <w:rPr>
            <w:rFonts w:ascii="Cambria Math" w:hAnsi="Cambria Math"/>
            <w:lang w:eastAsia="en-GB"/>
          </w:rPr>
          <m:t>ρ</m:t>
        </m:r>
      </m:oMath>
    </w:p>
    <w:tbl>
      <w:tblPr>
        <w:tblStyle w:val="TableGrid"/>
        <w:tblW w:w="0" w:type="auto"/>
        <w:tblLook w:val="04A0" w:firstRow="1" w:lastRow="0" w:firstColumn="1" w:lastColumn="0" w:noHBand="0" w:noVBand="1"/>
      </w:tblPr>
      <w:tblGrid>
        <w:gridCol w:w="3005"/>
        <w:gridCol w:w="3005"/>
        <w:gridCol w:w="3006"/>
      </w:tblGrid>
      <w:tr w:rsidR="00D5709B" w14:paraId="188DF545" w14:textId="77777777" w:rsidTr="00D5709B">
        <w:tc>
          <w:tcPr>
            <w:tcW w:w="3005" w:type="dxa"/>
          </w:tcPr>
          <w:p w14:paraId="3D77A102" w14:textId="77777777" w:rsidR="00D5709B" w:rsidRPr="00D5709B" w:rsidRDefault="00D5709B" w:rsidP="00D5709B">
            <w:pPr>
              <w:rPr>
                <w:b/>
                <w:bCs/>
                <w:lang w:eastAsia="en-GB"/>
              </w:rPr>
            </w:pPr>
            <m:oMathPara>
              <m:oMathParaPr>
                <m:jc m:val="left"/>
              </m:oMathParaPr>
              <m:oMath>
                <m:r>
                  <m:rPr>
                    <m:sty m:val="bi"/>
                  </m:rPr>
                  <w:rPr>
                    <w:rFonts w:ascii="Cambria Math" w:hAnsi="Cambria Math"/>
                    <w:lang w:eastAsia="en-GB"/>
                  </w:rPr>
                  <m:t>ρ(fixed)</m:t>
                </m:r>
              </m:oMath>
            </m:oMathPara>
          </w:p>
        </w:tc>
        <w:tc>
          <w:tcPr>
            <w:tcW w:w="3005" w:type="dxa"/>
          </w:tcPr>
          <w:p w14:paraId="3168A331" w14:textId="77777777" w:rsidR="00D5709B" w:rsidRPr="00D5709B" w:rsidRDefault="00000000" w:rsidP="00D5709B">
            <w:pPr>
              <w:rPr>
                <w:b/>
                <w:bCs/>
                <w:lang w:eastAsia="en-GB"/>
              </w:rPr>
            </w:pPr>
            <m:oMathPara>
              <m:oMathParaPr>
                <m:jc m:val="left"/>
              </m:oMathParaPr>
              <m:oMath>
                <m:acc>
                  <m:accPr>
                    <m:ctrlPr>
                      <w:rPr>
                        <w:rFonts w:ascii="Cambria Math" w:hAnsi="Cambria Math"/>
                        <w:b/>
                        <w:bCs/>
                        <w:i/>
                        <w:lang w:eastAsia="en-GB"/>
                      </w:rPr>
                    </m:ctrlPr>
                  </m:accPr>
                  <m:e>
                    <m:r>
                      <m:rPr>
                        <m:sty m:val="bi"/>
                      </m:rPr>
                      <w:rPr>
                        <w:rFonts w:ascii="Cambria Math" w:hAnsi="Cambria Math"/>
                        <w:lang w:eastAsia="en-GB"/>
                      </w:rPr>
                      <m:t>D</m:t>
                    </m:r>
                  </m:e>
                </m:acc>
                <m:r>
                  <m:rPr>
                    <m:sty m:val="bi"/>
                  </m:rPr>
                  <w:rPr>
                    <w:rFonts w:ascii="Cambria Math" w:hAnsi="Cambria Math"/>
                    <w:lang w:eastAsia="en-GB"/>
                  </w:rPr>
                  <m:t>(GW)</m:t>
                </m:r>
              </m:oMath>
            </m:oMathPara>
          </w:p>
        </w:tc>
        <w:tc>
          <w:tcPr>
            <w:tcW w:w="3006" w:type="dxa"/>
          </w:tcPr>
          <w:p w14:paraId="164963FF" w14:textId="77777777" w:rsidR="00D5709B" w:rsidRPr="00D5709B" w:rsidRDefault="00D5709B" w:rsidP="00D5709B">
            <w:pPr>
              <w:rPr>
                <w:b/>
                <w:bCs/>
                <w:lang w:eastAsia="en-GB"/>
              </w:rPr>
            </w:pPr>
            <w:r>
              <w:rPr>
                <w:b/>
                <w:bCs/>
                <w:lang w:eastAsia="en-GB"/>
              </w:rPr>
              <w:t>Gap (GW)</w:t>
            </w:r>
          </w:p>
        </w:tc>
      </w:tr>
      <w:tr w:rsidR="00D5709B" w14:paraId="22DE10A3" w14:textId="77777777" w:rsidTr="00D5709B">
        <w:tc>
          <w:tcPr>
            <w:tcW w:w="3005" w:type="dxa"/>
          </w:tcPr>
          <w:p w14:paraId="1907246C" w14:textId="77777777" w:rsidR="00D5709B" w:rsidRDefault="00D5709B" w:rsidP="00D5709B">
            <w:pPr>
              <w:rPr>
                <w:lang w:eastAsia="en-GB"/>
              </w:rPr>
            </w:pPr>
            <w:r>
              <w:rPr>
                <w:lang w:eastAsia="en-GB"/>
              </w:rPr>
              <w:t>-0.50</w:t>
            </w:r>
          </w:p>
        </w:tc>
        <w:tc>
          <w:tcPr>
            <w:tcW w:w="3005" w:type="dxa"/>
          </w:tcPr>
          <w:p w14:paraId="420CFA3B" w14:textId="77777777" w:rsidR="00D5709B" w:rsidRDefault="00D5709B" w:rsidP="00D5709B">
            <w:pPr>
              <w:rPr>
                <w:lang w:eastAsia="en-GB"/>
              </w:rPr>
            </w:pPr>
            <w:r>
              <w:rPr>
                <w:lang w:eastAsia="en-GB"/>
              </w:rPr>
              <w:t>4.58</w:t>
            </w:r>
          </w:p>
        </w:tc>
        <w:tc>
          <w:tcPr>
            <w:tcW w:w="3006" w:type="dxa"/>
          </w:tcPr>
          <w:p w14:paraId="06E88FB7" w14:textId="77777777" w:rsidR="00D5709B" w:rsidRDefault="00D5709B" w:rsidP="00D5709B">
            <w:pPr>
              <w:rPr>
                <w:lang w:eastAsia="en-GB"/>
              </w:rPr>
            </w:pPr>
            <w:r>
              <w:rPr>
                <w:lang w:eastAsia="en-GB"/>
              </w:rPr>
              <w:t>1.15</w:t>
            </w:r>
          </w:p>
        </w:tc>
      </w:tr>
      <w:tr w:rsidR="00D5709B" w14:paraId="74E84747" w14:textId="77777777" w:rsidTr="00D5709B">
        <w:tc>
          <w:tcPr>
            <w:tcW w:w="3005" w:type="dxa"/>
          </w:tcPr>
          <w:p w14:paraId="3C30F6AF" w14:textId="77777777" w:rsidR="00D5709B" w:rsidRDefault="00D5709B" w:rsidP="00D5709B">
            <w:pPr>
              <w:rPr>
                <w:lang w:eastAsia="en-GB"/>
              </w:rPr>
            </w:pPr>
            <w:r>
              <w:rPr>
                <w:lang w:eastAsia="en-GB"/>
              </w:rPr>
              <w:t>-0.25</w:t>
            </w:r>
          </w:p>
        </w:tc>
        <w:tc>
          <w:tcPr>
            <w:tcW w:w="3005" w:type="dxa"/>
          </w:tcPr>
          <w:p w14:paraId="3D747DA1" w14:textId="77777777" w:rsidR="00D5709B" w:rsidRDefault="00D5709B" w:rsidP="00D5709B">
            <w:pPr>
              <w:rPr>
                <w:lang w:eastAsia="en-GB"/>
              </w:rPr>
            </w:pPr>
            <w:r>
              <w:rPr>
                <w:lang w:eastAsia="en-GB"/>
              </w:rPr>
              <w:t>4.55</w:t>
            </w:r>
          </w:p>
        </w:tc>
        <w:tc>
          <w:tcPr>
            <w:tcW w:w="3006" w:type="dxa"/>
          </w:tcPr>
          <w:p w14:paraId="39044C1A" w14:textId="77777777" w:rsidR="00D5709B" w:rsidRDefault="00D5709B" w:rsidP="00D5709B">
            <w:pPr>
              <w:rPr>
                <w:lang w:eastAsia="en-GB"/>
              </w:rPr>
            </w:pPr>
            <w:r>
              <w:rPr>
                <w:lang w:eastAsia="en-GB"/>
              </w:rPr>
              <w:t>1.12</w:t>
            </w:r>
          </w:p>
        </w:tc>
      </w:tr>
      <w:tr w:rsidR="00D5709B" w14:paraId="78E6FEA9" w14:textId="77777777" w:rsidTr="00D5709B">
        <w:tc>
          <w:tcPr>
            <w:tcW w:w="3005" w:type="dxa"/>
          </w:tcPr>
          <w:p w14:paraId="0E0353BA" w14:textId="77777777" w:rsidR="00D5709B" w:rsidRDefault="00D5709B" w:rsidP="00D5709B">
            <w:pPr>
              <w:rPr>
                <w:lang w:eastAsia="en-GB"/>
              </w:rPr>
            </w:pPr>
            <w:r>
              <w:rPr>
                <w:lang w:eastAsia="en-GB"/>
              </w:rPr>
              <w:t>0.00</w:t>
            </w:r>
          </w:p>
        </w:tc>
        <w:tc>
          <w:tcPr>
            <w:tcW w:w="3005" w:type="dxa"/>
          </w:tcPr>
          <w:p w14:paraId="30AFAD76" w14:textId="77777777" w:rsidR="00D5709B" w:rsidRDefault="00D5709B" w:rsidP="00D5709B">
            <w:pPr>
              <w:rPr>
                <w:lang w:eastAsia="en-GB"/>
              </w:rPr>
            </w:pPr>
            <w:r>
              <w:rPr>
                <w:lang w:eastAsia="en-GB"/>
              </w:rPr>
              <w:t>5.34</w:t>
            </w:r>
          </w:p>
        </w:tc>
        <w:tc>
          <w:tcPr>
            <w:tcW w:w="3006" w:type="dxa"/>
          </w:tcPr>
          <w:p w14:paraId="5E9E45C2" w14:textId="77777777" w:rsidR="00D5709B" w:rsidRDefault="00D5709B" w:rsidP="00D5709B">
            <w:pPr>
              <w:rPr>
                <w:lang w:eastAsia="en-GB"/>
              </w:rPr>
            </w:pPr>
            <w:r>
              <w:rPr>
                <w:lang w:eastAsia="en-GB"/>
              </w:rPr>
              <w:t>1.91</w:t>
            </w:r>
          </w:p>
        </w:tc>
      </w:tr>
      <w:tr w:rsidR="00D5709B" w14:paraId="26C3D978" w14:textId="77777777" w:rsidTr="00D5709B">
        <w:tc>
          <w:tcPr>
            <w:tcW w:w="3005" w:type="dxa"/>
          </w:tcPr>
          <w:p w14:paraId="50C49BC5" w14:textId="77777777" w:rsidR="00D5709B" w:rsidRDefault="00D5709B" w:rsidP="00D5709B">
            <w:pPr>
              <w:rPr>
                <w:lang w:eastAsia="en-GB"/>
              </w:rPr>
            </w:pPr>
            <w:r>
              <w:rPr>
                <w:lang w:eastAsia="en-GB"/>
              </w:rPr>
              <w:t>+0.25</w:t>
            </w:r>
          </w:p>
        </w:tc>
        <w:tc>
          <w:tcPr>
            <w:tcW w:w="3005" w:type="dxa"/>
          </w:tcPr>
          <w:p w14:paraId="2198B081" w14:textId="77777777" w:rsidR="00D5709B" w:rsidRDefault="00D5709B" w:rsidP="00D5709B">
            <w:pPr>
              <w:rPr>
                <w:lang w:eastAsia="en-GB"/>
              </w:rPr>
            </w:pPr>
            <w:r>
              <w:rPr>
                <w:lang w:eastAsia="en-GB"/>
              </w:rPr>
              <w:t>5.44</w:t>
            </w:r>
          </w:p>
        </w:tc>
        <w:tc>
          <w:tcPr>
            <w:tcW w:w="3006" w:type="dxa"/>
          </w:tcPr>
          <w:p w14:paraId="79B819D4" w14:textId="77777777" w:rsidR="00D5709B" w:rsidRDefault="00D5709B" w:rsidP="00D5709B">
            <w:pPr>
              <w:rPr>
                <w:lang w:eastAsia="en-GB"/>
              </w:rPr>
            </w:pPr>
            <w:r>
              <w:rPr>
                <w:lang w:eastAsia="en-GB"/>
              </w:rPr>
              <w:t>1.89</w:t>
            </w:r>
          </w:p>
        </w:tc>
      </w:tr>
      <w:tr w:rsidR="00D5709B" w14:paraId="7709E500" w14:textId="77777777" w:rsidTr="00D5709B">
        <w:tc>
          <w:tcPr>
            <w:tcW w:w="3005" w:type="dxa"/>
          </w:tcPr>
          <w:p w14:paraId="427AA962" w14:textId="77777777" w:rsidR="00D5709B" w:rsidRDefault="00D5709B" w:rsidP="00D5709B">
            <w:pPr>
              <w:rPr>
                <w:lang w:eastAsia="en-GB"/>
              </w:rPr>
            </w:pPr>
            <w:r>
              <w:rPr>
                <w:lang w:eastAsia="en-GB"/>
              </w:rPr>
              <w:t>+0.50</w:t>
            </w:r>
          </w:p>
        </w:tc>
        <w:tc>
          <w:tcPr>
            <w:tcW w:w="3005" w:type="dxa"/>
          </w:tcPr>
          <w:p w14:paraId="76C0F7CE" w14:textId="77777777" w:rsidR="00D5709B" w:rsidRDefault="00D5709B" w:rsidP="00D5709B">
            <w:pPr>
              <w:rPr>
                <w:lang w:eastAsia="en-GB"/>
              </w:rPr>
            </w:pPr>
            <w:r>
              <w:rPr>
                <w:lang w:eastAsia="en-GB"/>
              </w:rPr>
              <w:t>5.31</w:t>
            </w:r>
          </w:p>
        </w:tc>
        <w:tc>
          <w:tcPr>
            <w:tcW w:w="3006" w:type="dxa"/>
          </w:tcPr>
          <w:p w14:paraId="63EF868E" w14:textId="77777777" w:rsidR="00D5709B" w:rsidRDefault="00D5709B" w:rsidP="00D5709B">
            <w:pPr>
              <w:rPr>
                <w:lang w:eastAsia="en-GB"/>
              </w:rPr>
            </w:pPr>
            <w:r>
              <w:rPr>
                <w:lang w:eastAsia="en-GB"/>
              </w:rPr>
              <w:t>1.88</w:t>
            </w:r>
          </w:p>
        </w:tc>
      </w:tr>
    </w:tbl>
    <w:p w14:paraId="51A33506" w14:textId="27804CF5" w:rsidR="00D5709B" w:rsidRDefault="00012D4C" w:rsidP="00D5709B">
      <w:pPr>
        <w:rPr>
          <w:lang w:eastAsia="en-GB"/>
        </w:rPr>
      </w:pPr>
      <w:r w:rsidRPr="00012D4C">
        <w:rPr>
          <w:lang w:eastAsia="en-GB"/>
        </w:rPr>
        <w:t>The data cannot establish whether the assumption holds. What Table 7 does establish is the direction and scale of the risk if it does not</w:t>
      </w:r>
      <w:r w:rsidR="00D5709B">
        <w:rPr>
          <w:lang w:eastAsia="en-GB"/>
        </w:rPr>
        <w:t>: a violation in the negative direction, which is the direction the data themselves point toward when unconstrained, would lower the headline suppressed-demand gap by up to two-fifths. The reported model retains independence as a maintained assumption, and the 1.91 GW figure should be read as the estimate under that assumption, with Table 7 indicating how much it would move if the assumption fails in the direction the data suggest is more likely.</w:t>
      </w:r>
    </w:p>
    <w:p w14:paraId="7D36031D" w14:textId="77777777" w:rsidR="00D5709B" w:rsidRDefault="00D5709B" w:rsidP="00D5709B">
      <w:pPr>
        <w:rPr>
          <w:lang w:eastAsia="en-GB"/>
        </w:rPr>
      </w:pPr>
    </w:p>
    <w:p w14:paraId="1C226ADF" w14:textId="77777777" w:rsidR="00D5709B" w:rsidRDefault="00D5709B" w:rsidP="00D5709B">
      <w:pPr>
        <w:rPr>
          <w:lang w:eastAsia="en-GB"/>
        </w:rPr>
      </w:pPr>
    </w:p>
    <w:p w14:paraId="6F6A9FE3" w14:textId="77777777" w:rsidR="00D5709B" w:rsidRDefault="00D5709B" w:rsidP="00D5709B">
      <w:pPr>
        <w:rPr>
          <w:lang w:eastAsia="en-GB"/>
        </w:rPr>
      </w:pPr>
    </w:p>
    <w:p w14:paraId="6884AE1D" w14:textId="77777777" w:rsidR="00D5709B" w:rsidRDefault="00D5709B" w:rsidP="00D5709B">
      <w:pPr>
        <w:rPr>
          <w:lang w:eastAsia="en-GB"/>
        </w:rPr>
      </w:pPr>
    </w:p>
    <w:p w14:paraId="4518890B" w14:textId="77777777" w:rsidR="00D5709B" w:rsidRDefault="00D5709B" w:rsidP="00D5709B">
      <w:pPr>
        <w:rPr>
          <w:lang w:eastAsia="en-GB"/>
        </w:rPr>
      </w:pPr>
    </w:p>
    <w:p w14:paraId="594E4429" w14:textId="77777777" w:rsidR="00D5709B" w:rsidRPr="00AA11A5" w:rsidRDefault="00D5709B" w:rsidP="00D5709B">
      <w:pPr>
        <w:rPr>
          <w:lang w:eastAsia="en-GB"/>
        </w:rPr>
      </w:pPr>
    </w:p>
    <w:p w14:paraId="2A99B894" w14:textId="77777777" w:rsidR="00F64215" w:rsidRPr="00AA11A5" w:rsidRDefault="000A1150" w:rsidP="000A1150">
      <w:pPr>
        <w:pStyle w:val="Heading2"/>
        <w:numPr>
          <w:ilvl w:val="0"/>
          <w:numId w:val="0"/>
        </w:numPr>
        <w:rPr>
          <w:lang w:eastAsia="en-GB"/>
        </w:rPr>
      </w:pPr>
      <w:bookmarkStart w:id="16" w:name="_Toc157591819"/>
      <w:r>
        <w:rPr>
          <w:lang w:eastAsia="en-GB"/>
        </w:rPr>
        <w:lastRenderedPageBreak/>
        <w:t xml:space="preserve">7.0 </w:t>
      </w:r>
      <w:bookmarkEnd w:id="16"/>
      <w:r>
        <w:rPr>
          <w:lang w:eastAsia="en-GB"/>
        </w:rPr>
        <w:t>Discussion</w:t>
      </w:r>
    </w:p>
    <w:p w14:paraId="664ADDE1" w14:textId="77777777" w:rsidR="000A1150" w:rsidRPr="00AA11A5" w:rsidRDefault="000A1150" w:rsidP="000A1150">
      <w:pPr>
        <w:pStyle w:val="Heading2"/>
        <w:numPr>
          <w:ilvl w:val="0"/>
          <w:numId w:val="0"/>
        </w:numPr>
        <w:rPr>
          <w:lang w:eastAsia="en-GB"/>
        </w:rPr>
      </w:pPr>
      <w:r>
        <w:rPr>
          <w:lang w:eastAsia="en-GB"/>
        </w:rPr>
        <w:t xml:space="preserve">7.1 </w:t>
      </w:r>
      <w:r>
        <w:t>What the estimate measures</w:t>
      </w:r>
    </w:p>
    <w:p w14:paraId="612EF1F4" w14:textId="77777777" w:rsidR="000A1150" w:rsidRDefault="000A1150" w:rsidP="000A1150">
      <w:pPr>
        <w:rPr>
          <w:lang w:eastAsia="en-GB"/>
        </w:rPr>
      </w:pPr>
      <w:r>
        <w:rPr>
          <w:lang w:eastAsia="en-GB"/>
        </w:rPr>
        <w:t>The estimate is an average, not a peak. D̂ = 5.34 GW is the mean, across the panel, of the demand the connected distribution network would draw at its prevailing structure of economic activity if generation and transmission did not bind, expressed in MWh/h, the same hourly-average unit in which contracted capacity is allocated. It is not an estimate of peak or instantaneous demand, and it does not describe the capacity a fully reliable system would require, which depends on the shape of demand within a day rather than its average level. The quarterly-average resolution of the underlying data does not support inference about that intra-quarter or intra-day shape.</w:t>
      </w:r>
    </w:p>
    <w:p w14:paraId="61050916" w14:textId="77777777" w:rsidR="00EE492F" w:rsidRDefault="00EE492F" w:rsidP="00EE492F">
      <w:pPr>
        <w:rPr>
          <w:lang w:eastAsia="en-GB"/>
        </w:rPr>
      </w:pPr>
      <w:r>
        <w:rPr>
          <w:lang w:eastAsia="en-GB"/>
        </w:rPr>
        <w:t>The estimate is also bounded to the connected network. It reflects the demand of customers already served by the eleven DISCOs, recovered from their offtake behaviour; it excludes latent demand from unconnected households and firms, which by construction leave no trace in DISCO offtake and cannot be recovered from it. The 1.91 GW gap between D̂ and observed delivery is therefore suppressed demand of the existing network (what current customers would draw if supplied without constraint), not a measure of total national electricity demand.</w:t>
      </w:r>
    </w:p>
    <w:p w14:paraId="193A7CF7" w14:textId="77777777" w:rsidR="00EE492F" w:rsidRDefault="00EE492F" w:rsidP="00EE492F">
      <w:pPr>
        <w:rPr>
          <w:lang w:eastAsia="en-GB"/>
        </w:rPr>
      </w:pPr>
      <w:r>
        <w:rPr>
          <w:lang w:eastAsia="en-GB"/>
        </w:rPr>
        <w:t>A further gap sits between D̂ and what a paying customer's meter would show, even before this suppressed-demand adjustment is considered. DISCO offtake is demand at the point where a DISCO draws from the grid, not demand at the point of final consumption:</w:t>
      </w:r>
    </w:p>
    <w:tbl>
      <w:tblPr>
        <w:tblStyle w:val="TableGrid"/>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76"/>
        <w:gridCol w:w="491"/>
      </w:tblGrid>
      <w:tr w:rsidR="00792ADA" w:rsidRPr="00DA061C" w14:paraId="1F7A8AE8" w14:textId="77777777" w:rsidTr="00A670A1">
        <w:tc>
          <w:tcPr>
            <w:tcW w:w="8576" w:type="dxa"/>
          </w:tcPr>
          <w:p w14:paraId="73D8DFC0" w14:textId="77777777" w:rsidR="00792ADA" w:rsidRPr="00DA061C" w:rsidRDefault="00000000" w:rsidP="00A670A1">
            <w:pPr>
              <w:rPr>
                <w:sz w:val="22"/>
                <w:szCs w:val="22"/>
              </w:rPr>
            </w:pPr>
            <m:oMath>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grid</m:t>
                  </m:r>
                </m:sub>
              </m:sSub>
              <m:r>
                <w:rPr>
                  <w:rFonts w:ascii="Cambria Math" w:hAnsi="Cambria Math"/>
                  <w:sz w:val="22"/>
                  <w:szCs w:val="22"/>
                </w:rPr>
                <m:t>=</m:t>
              </m:r>
            </m:oMath>
            <w:r w:rsidR="00792ADA">
              <w:rPr>
                <w:rFonts w:eastAsiaTheme="minorEastAsia"/>
                <w:sz w:val="22"/>
                <w:szCs w:val="22"/>
              </w:rPr>
              <w:t xml:space="preserve"> </w:t>
            </w:r>
            <m:oMath>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customer</m:t>
                  </m:r>
                </m:sub>
              </m:sSub>
              <m:r>
                <w:rPr>
                  <w:rFonts w:ascii="Cambria Math" w:hAnsi="Cambria Math"/>
                  <w:sz w:val="22"/>
                  <w:szCs w:val="22"/>
                </w:rPr>
                <m:t>+L</m:t>
              </m:r>
            </m:oMath>
          </w:p>
        </w:tc>
        <w:tc>
          <w:tcPr>
            <w:tcW w:w="491" w:type="dxa"/>
          </w:tcPr>
          <w:p w14:paraId="620CC8A7" w14:textId="77777777" w:rsidR="00792ADA" w:rsidRPr="00DA061C" w:rsidRDefault="00792ADA" w:rsidP="00A670A1">
            <w:pPr>
              <w:jc w:val="right"/>
              <w:rPr>
                <w:sz w:val="22"/>
                <w:szCs w:val="22"/>
              </w:rPr>
            </w:pPr>
            <w:r>
              <w:rPr>
                <w:sz w:val="22"/>
                <w:szCs w:val="22"/>
              </w:rPr>
              <w:t>1.5</w:t>
            </w:r>
          </w:p>
        </w:tc>
      </w:tr>
    </w:tbl>
    <w:p w14:paraId="3B2FB0C3" w14:textId="77777777" w:rsidR="00EE492F" w:rsidRDefault="00EE492F" w:rsidP="00EE492F">
      <w:pPr>
        <w:rPr>
          <w:lang w:eastAsia="en-GB"/>
        </w:rPr>
      </w:pPr>
      <w:r>
        <w:rPr>
          <w:lang w:eastAsia="en-GB"/>
        </w:rPr>
        <w:t xml:space="preserve">where </w:t>
      </w:r>
      <m:oMath>
        <m:r>
          <w:rPr>
            <w:rFonts w:ascii="Cambria Math" w:hAnsi="Cambria Math"/>
            <w:sz w:val="22"/>
            <w:szCs w:val="22"/>
          </w:rPr>
          <m:t>L</m:t>
        </m:r>
      </m:oMath>
      <w:r>
        <w:rPr>
          <w:lang w:eastAsia="en-GB"/>
        </w:rPr>
        <w:t xml:space="preserve"> is the technical and commercial loss incurred between the grid intake point and the customer, reported nationally as ATC&amp;C loss and running to several tens of per cent in a typical Nigerian DISCO-quarter. D̂ therefore estimates the demand ceiling at the DISCO trading point; the demand ceiling actually reaching customers, net of L, is correspondingly smaller and is not separately estimated here.</w:t>
      </w:r>
    </w:p>
    <w:p w14:paraId="2F9CF172" w14:textId="77777777" w:rsidR="000A1150" w:rsidRPr="00AA11A5" w:rsidRDefault="000A1150" w:rsidP="000A1150">
      <w:pPr>
        <w:pStyle w:val="Heading2"/>
        <w:numPr>
          <w:ilvl w:val="0"/>
          <w:numId w:val="0"/>
        </w:numPr>
        <w:rPr>
          <w:lang w:eastAsia="en-GB"/>
        </w:rPr>
      </w:pPr>
      <w:r>
        <w:rPr>
          <w:lang w:eastAsia="en-GB"/>
        </w:rPr>
        <w:lastRenderedPageBreak/>
        <w:t xml:space="preserve">7.2 </w:t>
      </w:r>
      <w:r>
        <w:t>Interpreting the coefficients</w:t>
      </w:r>
    </w:p>
    <w:p w14:paraId="32E77CA1" w14:textId="77777777" w:rsidR="000A1150" w:rsidRDefault="000A1150" w:rsidP="000A1150">
      <w:pPr>
        <w:rPr>
          <w:lang w:eastAsia="en-GB"/>
        </w:rPr>
      </w:pPr>
      <w:r>
        <w:rPr>
          <w:lang w:eastAsia="en-GB"/>
        </w:rPr>
        <w:t>The demand side is driven by formal economic activity. Among the variables tested, only state IGR identifies cross-DISCO demand variation cleanly, and it does so strongly (Table 4): franchise territories with higher formal economic activity draw more power, holding season constant. That population and built-up land area do not survive as demand drivers, while a monetised measure of economic activity does, is consistent with Nigerian electricity demand at the distribution level being shaped more by the scale of formal commercial and industrial activity than by headcount or settlement footprint.</w:t>
      </w:r>
    </w:p>
    <w:p w14:paraId="75A4FAA3" w14:textId="580084AB" w:rsidR="000A1150" w:rsidRDefault="00424EA1" w:rsidP="000A1150">
      <w:pPr>
        <w:rPr>
          <w:lang w:eastAsia="en-GB"/>
        </w:rPr>
      </w:pPr>
      <w:r>
        <w:rPr>
          <w:lang w:eastAsia="en-GB"/>
        </w:rPr>
        <w:t>The Lagos-area interaction qualifies this relationship rather than overturning it. The two Lagos DISCOs show a smaller demand response to IGR than the rest of the network. A plausible reading is that in the country's most developed commercial centre, the link between incremental economic activity and incremental grid demand is closer to saturation than elsewhere, so further activity translates less directly into additional offtake. This coefficient is retained on model-fit grounds but is the least certain in the specification</w:t>
      </w:r>
      <w:r w:rsidR="009E6130">
        <w:rPr>
          <w:lang w:eastAsia="en-GB"/>
        </w:rPr>
        <w:t>.</w:t>
      </w:r>
      <w:r>
        <w:rPr>
          <w:lang w:eastAsia="en-GB"/>
        </w:rPr>
        <w:t xml:space="preserve"> Eko and Ikeja together account for six of the panel's ten demand-constrained observations, so the interaction is estimated largely from the same narrow slice of data that identifies the demand equation as a whole. It is best read as a qualification supported by a thin part of the data.</w:t>
      </w:r>
    </w:p>
    <w:p w14:paraId="55302A5D" w14:textId="77777777" w:rsidR="00894554" w:rsidRPr="000A1150" w:rsidRDefault="000A1150" w:rsidP="00F64215">
      <w:pPr>
        <w:rPr>
          <w:sz w:val="22"/>
          <w:szCs w:val="22"/>
          <w:lang w:eastAsia="en-GB"/>
        </w:rPr>
      </w:pPr>
      <w:r>
        <w:rPr>
          <w:lang w:eastAsia="en-GB"/>
        </w:rPr>
        <w:t>The supply side behaves as the institutional structure implies. Contracted capacity converts to deliverable supply at close to unit elasticity (0.74): a DISCO's administrative allocation is, to first order, what it receives. National plant availability adds no reliable explanatory power once DISCO fixed effects are present, as expected for a single national figure common to every DISCO in a quarter, which carries little information to distinguish one DISCO's supply from another's once each DISCO's baseline allocation is absorbed. The DISCO fixed effects themselves are uniformly positive and mostly significant, consistent with each distribution company holding a real, persistent supply allocation above that of the reference DISCO.</w:t>
      </w:r>
    </w:p>
    <w:p w14:paraId="33D60209" w14:textId="77777777" w:rsidR="00CE31DC" w:rsidRPr="00AA11A5" w:rsidRDefault="000A1150" w:rsidP="000A1150">
      <w:pPr>
        <w:pStyle w:val="Heading2"/>
        <w:numPr>
          <w:ilvl w:val="0"/>
          <w:numId w:val="0"/>
        </w:numPr>
        <w:rPr>
          <w:lang w:eastAsia="en-GB"/>
        </w:rPr>
      </w:pPr>
      <w:r>
        <w:rPr>
          <w:lang w:eastAsia="en-GB"/>
        </w:rPr>
        <w:t>7.3 Limitations</w:t>
      </w:r>
    </w:p>
    <w:p w14:paraId="3418DB5A" w14:textId="77777777" w:rsidR="000A1150" w:rsidRDefault="000A1150" w:rsidP="000A1150">
      <w:pPr>
        <w:rPr>
          <w:lang w:eastAsia="en-GB"/>
        </w:rPr>
      </w:pPr>
      <w:r>
        <w:rPr>
          <w:lang w:eastAsia="en-GB"/>
        </w:rPr>
        <w:t>Four limitations bound what these results establish.</w:t>
      </w:r>
    </w:p>
    <w:p w14:paraId="38A3DB7F" w14:textId="77777777" w:rsidR="000A1150" w:rsidRDefault="000A1150" w:rsidP="000A1150">
      <w:pPr>
        <w:rPr>
          <w:lang w:eastAsia="en-GB"/>
        </w:rPr>
      </w:pPr>
      <w:r>
        <w:rPr>
          <w:lang w:eastAsia="en-GB"/>
        </w:rPr>
        <w:t>First, the estimate covers the connected network only. Latent demand from unconnected households and firms is outside the model by construction (Section 7.1); the figure reported here is not, and should not be read as, total national demand.</w:t>
      </w:r>
    </w:p>
    <w:p w14:paraId="01285BC6" w14:textId="77777777" w:rsidR="000A1150" w:rsidRDefault="000A1150" w:rsidP="000A1150">
      <w:pPr>
        <w:rPr>
          <w:lang w:eastAsia="en-GB"/>
        </w:rPr>
      </w:pPr>
      <w:r>
        <w:rPr>
          <w:lang w:eastAsia="en-GB"/>
        </w:rPr>
        <w:lastRenderedPageBreak/>
        <w:t>Second, demand is identified by formal economic activity alone. Six candidate variables intended to capture household or settlement-based demand (population, urban-masked population, built-up area, residential built-up area, and new-connection flow) failed to identify a demand effect distinct from IGR (Section 6.3). This is a limit of what the available data separate, not evidence that household demand is unimportant; the reported demand equation should be understood as capturing the formal-economic-activity channel, with any distinct household channel unresolved.</w:t>
      </w:r>
    </w:p>
    <w:p w14:paraId="04557D18" w14:textId="77777777" w:rsidR="000A1150" w:rsidRDefault="000A1150" w:rsidP="000A1150">
      <w:pPr>
        <w:rPr>
          <w:lang w:eastAsia="en-GB"/>
        </w:rPr>
      </w:pPr>
      <w:r>
        <w:rPr>
          <w:lang w:eastAsia="en-GB"/>
        </w:rPr>
        <w:t>Third, the independence of demand and supply shocks is assumed, not verified. A direct test was inconclusive: the correlation parameter was not identified by the sample (Section 6.5). The model retains independence as a maintained assumption.</w:t>
      </w:r>
    </w:p>
    <w:p w14:paraId="5EACC41B" w14:textId="2BCA76E0" w:rsidR="003559E3" w:rsidRDefault="003559E3" w:rsidP="000A1150">
      <w:pPr>
        <w:rPr>
          <w:lang w:eastAsia="en-GB"/>
        </w:rPr>
      </w:pPr>
      <w:r>
        <w:rPr>
          <w:lang w:eastAsia="en-GB"/>
        </w:rPr>
        <w:t xml:space="preserve">Fourth, the panel is short, and the demand-constrained regime within it is thin. Fourteen quarters across eleven DISCOs is sufficient to estimate the reported specification and to support the robustness checks in Section 6, but only ten of the 154 observations, concentrated in three DISCOs, are classified as demand-constrained (Section 6.4). This limits what can be asked of the data: it is why the shock correlation cannot be identified (Section 6.5), why the time-varying IGR specification loses precision, why the out-of-sample test's demand-constrained subset is small, and why the headline gap moves substantially when any of these three DISCOs is excluded from estimation (Section 6.4). The national figure should accordingly be read alongside the DISCO-level results in </w:t>
      </w:r>
      <w:r w:rsidR="00411B18">
        <w:t>Appendix Table A1</w:t>
      </w:r>
      <w:r>
        <w:rPr>
          <w:lang w:eastAsia="en-GB"/>
        </w:rPr>
        <w:t>, not in place of them; the estimate is best supported for Abuja, Eko, and Ikeja specifically, and least independently corroborated for the remaining eight DISCOs.</w:t>
      </w:r>
    </w:p>
    <w:p w14:paraId="24EC2299" w14:textId="77777777" w:rsidR="000A1150" w:rsidRPr="00AA11A5" w:rsidRDefault="000A1150" w:rsidP="000A1150">
      <w:pPr>
        <w:pStyle w:val="Heading2"/>
        <w:numPr>
          <w:ilvl w:val="0"/>
          <w:numId w:val="0"/>
        </w:numPr>
        <w:rPr>
          <w:lang w:eastAsia="en-GB"/>
        </w:rPr>
      </w:pPr>
      <w:r>
        <w:rPr>
          <w:lang w:eastAsia="en-GB"/>
        </w:rPr>
        <w:t xml:space="preserve">7.4 </w:t>
      </w:r>
      <w:r>
        <w:t>Relation to existing estimates</w:t>
      </w:r>
    </w:p>
    <w:p w14:paraId="11F8198F" w14:textId="77777777" w:rsidR="000A1150" w:rsidRDefault="000A1150" w:rsidP="000A1150">
      <w:pPr>
        <w:rPr>
          <w:lang w:eastAsia="en-GB"/>
        </w:rPr>
      </w:pPr>
      <w:r>
        <w:rPr>
          <w:lang w:eastAsia="en-GB"/>
        </w:rPr>
        <w:t>Against prior suppressed-demand estimates. Existing Nigerian estimates are not directly comparable in units or horizon (Ugbehe et al. (2025) report projected national energy in GWh per year to 2050; Ojameruaye (1988) worked in NEPA-era aggregates predating the DISCO structure entirely), so the contrast is one of method, not a common figure. Where those studies fix the correction from consumption to demand before estimation, the figure here is recovered from the joint behaviour of offtake and contracted capacity, with the constrained status of each observation identified by the model rather than assumed (Section 2.3).</w:t>
      </w:r>
    </w:p>
    <w:p w14:paraId="75F92B7C" w14:textId="77777777" w:rsidR="000A1150" w:rsidRDefault="000A1150" w:rsidP="000A1150">
      <w:pPr>
        <w:rPr>
          <w:lang w:eastAsia="en-GB"/>
        </w:rPr>
      </w:pPr>
      <w:r>
        <w:rPr>
          <w:lang w:eastAsia="en-GB"/>
        </w:rPr>
        <w:lastRenderedPageBreak/>
        <w:t>Against observed delivery and capacity. The estimate is disciplined by the sector's own aggregates. Nigeria holds roughly 13 GW of installed generation capacity but delivered an average of about 4.5 GW to the grid in 2023 (IEA, 2024; African Development Bank, cited in AllAfrica, 2025). This paper's 3.43 GW average DISCO offtake, measured over a different window (2022Q4–2026Q1) and at a narrower point in the supply chain, is plausibly consistent with that figure rather than in tension with it: the IEA/ADB figure is measured at the point of generation and transmission, before transmission losses are subtracted and before offtake by large industrial customers who purchase directly from generators under Nigeria's "eligible customer" framework rather than through a DISCO. Both factors would be expected to widen the gap between total grid delivery and DISCO-metered offtake specifically, in the direction observed here. The estimated ceiling of 5.34 GW places connected-network suppressed demand at 56 per cent above delivery, well below installed capacity, and thus not a claim that the grid could serve its estimated demand today, though materially above what is currently delivered.</w:t>
      </w:r>
    </w:p>
    <w:p w14:paraId="73061826" w14:textId="77777777" w:rsidR="00085BD1" w:rsidRDefault="000A1150" w:rsidP="000A1150">
      <w:pPr>
        <w:rPr>
          <w:lang w:eastAsia="en-GB"/>
        </w:rPr>
      </w:pPr>
      <w:r>
        <w:rPr>
          <w:lang w:eastAsia="en-GB"/>
        </w:rPr>
        <w:t>Against self-generation. The most telling external check is the scale of self-generation. Nigerian firms and households operate an estimated 8–14 GW of decentralised diesel and gas generating capacity (by several accounts equal to or exceeding grid-connected capacity), and roughly 40 per cent of electricity consumed nationally is self-generated (IEA, 2024; ESI-Africa, 2024; Climate Technology Centre &amp; Network, 2017). This figure is not directly comparable to the estimate here and should not be read as one: self-generation reflects total unmet demand across both connected and unconnected users, and is driven substantially by demand for reliability and continuity that an average-power figure does not capture. But its sheer scale (a captive fleet on the order of the entire grid) is qualitatively consistent with the central finding that grid offtake substantially understates what connected customers would draw if supplied, and locates the 1.91 GW connected-network gap as a conservative lower bound on the broader unmet demand the self-generation market reveals.</w:t>
      </w:r>
    </w:p>
    <w:p w14:paraId="4BD95D6B" w14:textId="77777777" w:rsidR="00085BD1" w:rsidRDefault="00085BD1" w:rsidP="00F64215">
      <w:pPr>
        <w:rPr>
          <w:lang w:eastAsia="en-GB"/>
        </w:rPr>
      </w:pPr>
    </w:p>
    <w:p w14:paraId="6CE1B633" w14:textId="77777777" w:rsidR="00085BD1" w:rsidRDefault="00085BD1" w:rsidP="00F64215">
      <w:pPr>
        <w:rPr>
          <w:lang w:eastAsia="en-GB"/>
        </w:rPr>
      </w:pPr>
    </w:p>
    <w:p w14:paraId="2A17A4AF" w14:textId="77777777" w:rsidR="000A1150" w:rsidRPr="00AA11A5" w:rsidRDefault="000A1150" w:rsidP="00F64215">
      <w:pPr>
        <w:rPr>
          <w:lang w:eastAsia="en-GB"/>
        </w:rPr>
      </w:pPr>
    </w:p>
    <w:p w14:paraId="6815A59D" w14:textId="77777777" w:rsidR="00A34032" w:rsidRPr="00AA11A5" w:rsidRDefault="000A1150" w:rsidP="000A1150">
      <w:pPr>
        <w:pStyle w:val="Heading2"/>
        <w:numPr>
          <w:ilvl w:val="0"/>
          <w:numId w:val="0"/>
        </w:numPr>
        <w:rPr>
          <w:lang w:eastAsia="en-GB"/>
        </w:rPr>
      </w:pPr>
      <w:r>
        <w:rPr>
          <w:lang w:eastAsia="en-GB"/>
        </w:rPr>
        <w:lastRenderedPageBreak/>
        <w:t>8.0 Conclusion</w:t>
      </w:r>
    </w:p>
    <w:p w14:paraId="217F6249" w14:textId="00BDDDCA" w:rsidR="000A1150" w:rsidRDefault="000A1150" w:rsidP="000A1150">
      <w:pPr>
        <w:rPr>
          <w:lang w:eastAsia="en-GB"/>
        </w:rPr>
      </w:pPr>
      <w:r>
        <w:rPr>
          <w:lang w:eastAsia="en-GB"/>
        </w:rPr>
        <w:t xml:space="preserve">This paper estimated the suppressed electricity demand of Nigeria's connected distribution network by treating observed offtake as the short side of a market that does not clear, and recovering demand and supply as separately identified equations rather than assuming the correction between consumption and demand in advance. The existing network is estimated to draw 5.34 GW on average against 3.43 GW delivered (a suppressed demand gap of 1.91 GW, or 56 per cent above current delivery), with formal economic activity (rather than population or settlement footprint) as the operative demand driver, and contracted capacity converting to supply at close to unit pass-through. </w:t>
      </w:r>
      <w:r w:rsidR="007B4019" w:rsidRPr="007B4019">
        <w:rPr>
          <w:lang w:eastAsia="en-GB"/>
        </w:rPr>
        <w:t>The estimate survives out-of-sample testing, but it is anchored to the three DISCOs whose behaviour reveals demand (Abuja, Eko and Ikeja) and assumes independent demand and supply shocks; Sections 6.4 and 6.5 report how far it moves when either condition is relaxed</w:t>
      </w:r>
      <w:r>
        <w:rPr>
          <w:lang w:eastAsia="en-GB"/>
        </w:rPr>
        <w:t>.</w:t>
      </w:r>
    </w:p>
    <w:p w14:paraId="2EEA53BA" w14:textId="77777777" w:rsidR="000A1150" w:rsidRDefault="000A1150" w:rsidP="000A1150">
      <w:pPr>
        <w:rPr>
          <w:lang w:eastAsia="en-GB"/>
        </w:rPr>
      </w:pPr>
      <w:r>
        <w:rPr>
          <w:lang w:eastAsia="en-GB"/>
        </w:rPr>
        <w:t>The contribution is as much methodological as empirical. The disequilibrium framework has existed for fifty years and been applied across rationed markets, but not, in its full joint-estimation form, to electricity demand in a developing-country grid. Doing so removes the central weakness of existing suppressed-demand estimates for such settings (that the size of the demand-supply gap is fixed by assumption before the data are consulted) and replaces it with a figure the data identify directly, including which observations were demand- and which supply-constrained. The method's requirements are modest: quarterly offtake, an administrative supply allocation, and a demand shifter excluded from supply. Many rationed power systems report exactly this.</w:t>
      </w:r>
    </w:p>
    <w:p w14:paraId="6E9ACBCD" w14:textId="77777777" w:rsidR="00F06505" w:rsidRDefault="000A1150" w:rsidP="00F06505">
      <w:pPr>
        <w:rPr>
          <w:lang w:eastAsia="en-GB"/>
        </w:rPr>
      </w:pPr>
      <w:r>
        <w:rPr>
          <w:lang w:eastAsia="en-GB"/>
        </w:rPr>
        <w:t xml:space="preserve">That points to the wider application. The measurement problem this paper addresses (quantity rationed away from what price would clear, so that observed consumption reveals only the short side) is not specific to chronic under-supply. It has re-emerged, since 2024, in the most developed electricity markets, where data-centre and AI load has outrun the grid's physical capacity to connect it: at the end of 2025, US interconnection queues held roughly 2,061 GW of pending capacity, around one and a half times the installed base, with multi-year waits to connect. There, price clears the wholesale market but not the queue for connection itself: a market with its own latent demand, its own constrained supply, and only their minimum observed. Estimating that gap is the same problem in a different setting, and one this framework is suited to, though it is left here as a direction rather than a result. The method was built for </w:t>
      </w:r>
      <w:r>
        <w:rPr>
          <w:lang w:eastAsia="en-GB"/>
        </w:rPr>
        <w:lastRenderedPageBreak/>
        <w:t>markets where price cannot do the work of allocation; such markets are becoming more common, not less.</w:t>
      </w:r>
    </w:p>
    <w:p w14:paraId="43897162" w14:textId="77777777" w:rsidR="00F443B2" w:rsidRPr="00AA11A5" w:rsidRDefault="00F443B2" w:rsidP="00870C8B">
      <w:pPr>
        <w:rPr>
          <w:lang w:eastAsia="en-GB"/>
        </w:rPr>
      </w:pPr>
    </w:p>
    <w:p w14:paraId="0ACF8476" w14:textId="77777777" w:rsidR="007768DC" w:rsidRPr="00AA11A5" w:rsidRDefault="007768DC" w:rsidP="003D5048">
      <w:pPr>
        <w:pStyle w:val="Heading1"/>
        <w:numPr>
          <w:ilvl w:val="0"/>
          <w:numId w:val="0"/>
        </w:numPr>
        <w:rPr>
          <w:lang w:eastAsia="en-GB"/>
        </w:rPr>
      </w:pPr>
      <w:bookmarkStart w:id="17" w:name="_Toc240994355"/>
      <w:r>
        <w:rPr>
          <w:lang w:eastAsia="en-GB"/>
        </w:rPr>
        <w:t>REFERENCES</w:t>
      </w:r>
      <w:bookmarkEnd w:id="17"/>
    </w:p>
    <w:p w14:paraId="4087BC2E" w14:textId="2ECD4161" w:rsidR="00475340" w:rsidRPr="00475340" w:rsidRDefault="00475340" w:rsidP="00475340">
      <w:pPr>
        <w:spacing w:after="120" w:line="276" w:lineRule="auto"/>
        <w:rPr>
          <w:sz w:val="22"/>
          <w:szCs w:val="22"/>
        </w:rPr>
      </w:pPr>
      <w:r w:rsidRPr="00475340">
        <w:rPr>
          <w:sz w:val="22"/>
          <w:szCs w:val="22"/>
        </w:rPr>
        <w:t>AllAfrica (2024) 'Nigeria: Power Sector Privatisation — Discos Reeling Under N3trn Debt 10 Years After', AllAfrica, 19 February. Available at: https://allafrica.com/stories/202402190191.html (Accessed: September 2026).</w:t>
      </w:r>
    </w:p>
    <w:p w14:paraId="0214A997" w14:textId="1351FF7B" w:rsidR="00475340" w:rsidRPr="00475340" w:rsidRDefault="00475340" w:rsidP="00475340">
      <w:pPr>
        <w:spacing w:after="120" w:line="276" w:lineRule="auto"/>
        <w:rPr>
          <w:sz w:val="22"/>
          <w:szCs w:val="22"/>
        </w:rPr>
      </w:pPr>
      <w:r w:rsidRPr="00475340">
        <w:rPr>
          <w:sz w:val="22"/>
          <w:szCs w:val="22"/>
        </w:rPr>
        <w:t>Daily Trust (2025) 'Nigerian Power Sector Privatization 2005 to 2025: Solving a Wicked Problem', Daily Trust, 29 October. Available at: https://dailytrust.com/nigerian-power-sector-privatization-2005-to-2025-solving-a-wicked-problem/ (Accessed: September 2026).</w:t>
      </w:r>
    </w:p>
    <w:p w14:paraId="306777EA" w14:textId="4BC2D1F9" w:rsidR="00475340" w:rsidRPr="00475340" w:rsidRDefault="00475340" w:rsidP="00475340">
      <w:pPr>
        <w:spacing w:after="120" w:line="276" w:lineRule="auto"/>
        <w:rPr>
          <w:sz w:val="22"/>
          <w:szCs w:val="22"/>
        </w:rPr>
      </w:pPr>
      <w:r w:rsidRPr="00475340">
        <w:rPr>
          <w:sz w:val="22"/>
          <w:szCs w:val="22"/>
        </w:rPr>
        <w:t xml:space="preserve">Dramani, J.B., Ofori-Mensah, K.A., Otchere, N.O., Frimpong, P.B., Adu-Poku, A., </w:t>
      </w:r>
      <w:proofErr w:type="spellStart"/>
      <w:r w:rsidRPr="00475340">
        <w:rPr>
          <w:sz w:val="22"/>
          <w:szCs w:val="22"/>
        </w:rPr>
        <w:t>Kemausuor</w:t>
      </w:r>
      <w:proofErr w:type="spellEnd"/>
      <w:r w:rsidRPr="00475340">
        <w:rPr>
          <w:sz w:val="22"/>
          <w:szCs w:val="22"/>
        </w:rPr>
        <w:t xml:space="preserve">, F. and </w:t>
      </w:r>
      <w:proofErr w:type="spellStart"/>
      <w:r w:rsidRPr="00475340">
        <w:rPr>
          <w:sz w:val="22"/>
          <w:szCs w:val="22"/>
        </w:rPr>
        <w:t>Yazdanie</w:t>
      </w:r>
      <w:proofErr w:type="spellEnd"/>
      <w:r w:rsidRPr="00475340">
        <w:rPr>
          <w:sz w:val="22"/>
          <w:szCs w:val="22"/>
        </w:rPr>
        <w:t xml:space="preserve">, M. (2024) 'Estimating and forecasting suppressed electricity demand in Ghana under climate change, the informal economy and sector inefficiencies', </w:t>
      </w:r>
      <w:proofErr w:type="spellStart"/>
      <w:r w:rsidRPr="00475340">
        <w:rPr>
          <w:sz w:val="22"/>
          <w:szCs w:val="22"/>
        </w:rPr>
        <w:t>Heliyon</w:t>
      </w:r>
      <w:proofErr w:type="spellEnd"/>
      <w:r w:rsidRPr="00475340">
        <w:rPr>
          <w:sz w:val="22"/>
          <w:szCs w:val="22"/>
        </w:rPr>
        <w:t>, 10(16), e36001.</w:t>
      </w:r>
    </w:p>
    <w:p w14:paraId="44F5CCAD" w14:textId="0BFE1175" w:rsidR="00475340" w:rsidRPr="00475340" w:rsidRDefault="00475340" w:rsidP="00475340">
      <w:pPr>
        <w:spacing w:after="120" w:line="276" w:lineRule="auto"/>
        <w:rPr>
          <w:sz w:val="22"/>
          <w:szCs w:val="22"/>
        </w:rPr>
      </w:pPr>
      <w:r w:rsidRPr="00475340">
        <w:rPr>
          <w:sz w:val="22"/>
          <w:szCs w:val="22"/>
        </w:rPr>
        <w:t>ESI-Africa (2024) 'Nigeria: back-up generators still making up for grid shortcomings', ESI-Africa, 25 January. Available at: https://www.esi-africa.com/reports/nigeria-back-up-generators-continue-to-make-up-for-grid-shortcomings/ (Accessed: September 2026).</w:t>
      </w:r>
    </w:p>
    <w:p w14:paraId="0BDDF8BB" w14:textId="2CF05A5F" w:rsidR="00475340" w:rsidRPr="00475340" w:rsidRDefault="00475340" w:rsidP="00475340">
      <w:pPr>
        <w:spacing w:after="120" w:line="276" w:lineRule="auto"/>
        <w:rPr>
          <w:sz w:val="22"/>
          <w:szCs w:val="22"/>
        </w:rPr>
      </w:pPr>
      <w:r w:rsidRPr="00475340">
        <w:rPr>
          <w:sz w:val="22"/>
          <w:szCs w:val="22"/>
        </w:rPr>
        <w:t xml:space="preserve">Fair, R.C. and Jaffee, D.M. (1972) 'Methods of estimation for markets in disequilibrium', </w:t>
      </w:r>
      <w:proofErr w:type="spellStart"/>
      <w:r w:rsidRPr="00475340">
        <w:rPr>
          <w:sz w:val="22"/>
          <w:szCs w:val="22"/>
        </w:rPr>
        <w:t>Econometrica</w:t>
      </w:r>
      <w:proofErr w:type="spellEnd"/>
      <w:r w:rsidRPr="00475340">
        <w:rPr>
          <w:sz w:val="22"/>
          <w:szCs w:val="22"/>
        </w:rPr>
        <w:t>, 40(3), pp. 497–514.</w:t>
      </w:r>
    </w:p>
    <w:p w14:paraId="3F7DE6A4" w14:textId="1BC7B014" w:rsidR="00475340" w:rsidRPr="00475340" w:rsidRDefault="00475340" w:rsidP="00475340">
      <w:pPr>
        <w:spacing w:after="120" w:line="276" w:lineRule="auto"/>
        <w:rPr>
          <w:sz w:val="22"/>
          <w:szCs w:val="22"/>
        </w:rPr>
      </w:pPr>
      <w:r w:rsidRPr="00475340">
        <w:rPr>
          <w:sz w:val="22"/>
          <w:szCs w:val="22"/>
        </w:rPr>
        <w:t>IEA (2024) Electricity 2024: Analysis and Forecast to 2026. Paris: IEA. Available at: https://www.iea.org/reports/electricity-2024 (Accessed: September 2026).</w:t>
      </w:r>
    </w:p>
    <w:p w14:paraId="6DDE3A48" w14:textId="56BAA045" w:rsidR="00475340" w:rsidRPr="00475340" w:rsidRDefault="00475340" w:rsidP="00475340">
      <w:pPr>
        <w:spacing w:after="120" w:line="276" w:lineRule="auto"/>
        <w:rPr>
          <w:sz w:val="22"/>
          <w:szCs w:val="22"/>
        </w:rPr>
      </w:pPr>
      <w:proofErr w:type="spellStart"/>
      <w:r w:rsidRPr="00475340">
        <w:rPr>
          <w:sz w:val="22"/>
          <w:szCs w:val="22"/>
        </w:rPr>
        <w:t>Karapanagiotis</w:t>
      </w:r>
      <w:proofErr w:type="spellEnd"/>
      <w:r w:rsidRPr="00475340">
        <w:rPr>
          <w:sz w:val="22"/>
          <w:szCs w:val="22"/>
        </w:rPr>
        <w:t>, P. (2024) 'The R package markets: estimation methods for markets in equilibrium and disequilibrium', Journal of Statistical Software, 108(2), pp. 1–39.</w:t>
      </w:r>
    </w:p>
    <w:p w14:paraId="1114B4B2" w14:textId="50A348F6" w:rsidR="00475340" w:rsidRPr="00475340" w:rsidRDefault="00475340" w:rsidP="00475340">
      <w:pPr>
        <w:spacing w:after="120" w:line="276" w:lineRule="auto"/>
        <w:rPr>
          <w:sz w:val="22"/>
          <w:szCs w:val="22"/>
        </w:rPr>
      </w:pPr>
      <w:r w:rsidRPr="00475340">
        <w:rPr>
          <w:sz w:val="22"/>
          <w:szCs w:val="22"/>
        </w:rPr>
        <w:t xml:space="preserve">Maddala, G.S. and Nelson, F.D. (1974) 'Maximum likelihood methods for models of markets in disequilibrium', </w:t>
      </w:r>
      <w:proofErr w:type="spellStart"/>
      <w:r w:rsidRPr="00475340">
        <w:rPr>
          <w:sz w:val="22"/>
          <w:szCs w:val="22"/>
        </w:rPr>
        <w:t>Econometrica</w:t>
      </w:r>
      <w:proofErr w:type="spellEnd"/>
      <w:r w:rsidRPr="00475340">
        <w:rPr>
          <w:sz w:val="22"/>
          <w:szCs w:val="22"/>
        </w:rPr>
        <w:t>, 42(6), pp. 1013–1030.</w:t>
      </w:r>
    </w:p>
    <w:p w14:paraId="4EAB976A" w14:textId="2332F3AA" w:rsidR="00475340" w:rsidRPr="00475340" w:rsidRDefault="00475340" w:rsidP="00475340">
      <w:pPr>
        <w:spacing w:after="120" w:line="276" w:lineRule="auto"/>
        <w:rPr>
          <w:sz w:val="22"/>
          <w:szCs w:val="22"/>
        </w:rPr>
      </w:pPr>
      <w:r w:rsidRPr="00475340">
        <w:rPr>
          <w:sz w:val="22"/>
          <w:szCs w:val="22"/>
        </w:rPr>
        <w:t>National Bureau of Statistics (2025) Internally generated revenue at state level, 2016–2024. Abuja: NBS. Available at: https://nigerianstat.gov.ng (Accessed: September 2026).</w:t>
      </w:r>
    </w:p>
    <w:p w14:paraId="56984CA1" w14:textId="74BA829E" w:rsidR="00475340" w:rsidRPr="00475340" w:rsidRDefault="00475340" w:rsidP="00475340">
      <w:pPr>
        <w:spacing w:after="120" w:line="276" w:lineRule="auto"/>
        <w:rPr>
          <w:sz w:val="22"/>
          <w:szCs w:val="22"/>
        </w:rPr>
      </w:pPr>
      <w:r w:rsidRPr="00475340">
        <w:rPr>
          <w:sz w:val="22"/>
          <w:szCs w:val="22"/>
        </w:rPr>
        <w:t>Nigerian Electricity Regulatory Commission (2022–2026) Quarterly reports, 2022Q4 to 2026Q1. Abuja: NERC. Available at: https://nerc.gov.ng (Accessed: September 2026).</w:t>
      </w:r>
    </w:p>
    <w:p w14:paraId="18A6EB6B" w14:textId="3231DAA4" w:rsidR="00475340" w:rsidRPr="00475340" w:rsidRDefault="00475340" w:rsidP="00475340">
      <w:pPr>
        <w:spacing w:after="120" w:line="276" w:lineRule="auto"/>
        <w:rPr>
          <w:sz w:val="22"/>
          <w:szCs w:val="22"/>
        </w:rPr>
      </w:pPr>
      <w:proofErr w:type="spellStart"/>
      <w:r w:rsidRPr="00475340">
        <w:rPr>
          <w:sz w:val="22"/>
          <w:szCs w:val="22"/>
        </w:rPr>
        <w:t>Ojameruaye</w:t>
      </w:r>
      <w:proofErr w:type="spellEnd"/>
      <w:r w:rsidRPr="00475340">
        <w:rPr>
          <w:sz w:val="22"/>
          <w:szCs w:val="22"/>
        </w:rPr>
        <w:t>, E.O. (1988) 'An econometric disequilibrium model for electric power system planning in Nigeria', OPEC Review, 12(4), pp. 369–385.</w:t>
      </w:r>
    </w:p>
    <w:p w14:paraId="2852A537" w14:textId="3D9D8724" w:rsidR="00475340" w:rsidRPr="00475340" w:rsidRDefault="00475340" w:rsidP="00475340">
      <w:pPr>
        <w:spacing w:after="120" w:line="276" w:lineRule="auto"/>
        <w:rPr>
          <w:sz w:val="22"/>
          <w:szCs w:val="22"/>
        </w:rPr>
      </w:pPr>
      <w:r w:rsidRPr="00475340">
        <w:rPr>
          <w:sz w:val="22"/>
          <w:szCs w:val="22"/>
        </w:rPr>
        <w:t>Oseni, M.O. (2017) 'Self-generation and households' willingness to pay for reliable electricity service in Nigeria', The Energy Journal, 38(4), pp. 165–194.</w:t>
      </w:r>
    </w:p>
    <w:p w14:paraId="58D4EA67" w14:textId="5F564771" w:rsidR="00475340" w:rsidRPr="00475340" w:rsidRDefault="00475340" w:rsidP="00475340">
      <w:pPr>
        <w:spacing w:after="120" w:line="276" w:lineRule="auto"/>
        <w:rPr>
          <w:sz w:val="22"/>
          <w:szCs w:val="22"/>
        </w:rPr>
      </w:pPr>
      <w:r w:rsidRPr="00475340">
        <w:rPr>
          <w:sz w:val="22"/>
          <w:szCs w:val="22"/>
        </w:rPr>
        <w:lastRenderedPageBreak/>
        <w:t>Rand, J., Cheyette, A., Talley, C., Zhang, S., Gorman, W., Wiser, R.H., Seel, J., Jeong, S. and Kahrl, F. (2026) Queued Up: 2026 Edition, Characteristics of Power Plants Seeking Transmission Interconnection as of the End of 2025. Berkeley, CA: Lawrence Berkeley National Laboratory. Available at: https://emp.lbl.gov/queues (Accessed: September 2026).</w:t>
      </w:r>
    </w:p>
    <w:p w14:paraId="156A69AF" w14:textId="7B31566B" w:rsidR="00475340" w:rsidRDefault="00475340" w:rsidP="00475340">
      <w:pPr>
        <w:spacing w:after="120" w:line="276" w:lineRule="auto"/>
        <w:rPr>
          <w:sz w:val="22"/>
          <w:szCs w:val="22"/>
        </w:rPr>
      </w:pPr>
      <w:proofErr w:type="spellStart"/>
      <w:r w:rsidRPr="00475340">
        <w:rPr>
          <w:sz w:val="22"/>
          <w:szCs w:val="22"/>
        </w:rPr>
        <w:t>Ugbehe</w:t>
      </w:r>
      <w:proofErr w:type="spellEnd"/>
      <w:r w:rsidRPr="00475340">
        <w:rPr>
          <w:sz w:val="22"/>
          <w:szCs w:val="22"/>
        </w:rPr>
        <w:t xml:space="preserve">, P.O., </w:t>
      </w:r>
      <w:proofErr w:type="spellStart"/>
      <w:r w:rsidRPr="00475340">
        <w:rPr>
          <w:sz w:val="22"/>
          <w:szCs w:val="22"/>
        </w:rPr>
        <w:t>Diemuodeke</w:t>
      </w:r>
      <w:proofErr w:type="spellEnd"/>
      <w:r w:rsidRPr="00475340">
        <w:rPr>
          <w:sz w:val="22"/>
          <w:szCs w:val="22"/>
        </w:rPr>
        <w:t xml:space="preserve">, O.E., </w:t>
      </w:r>
      <w:proofErr w:type="spellStart"/>
      <w:r w:rsidRPr="00475340">
        <w:rPr>
          <w:sz w:val="22"/>
          <w:szCs w:val="22"/>
        </w:rPr>
        <w:t>Aikhuele</w:t>
      </w:r>
      <w:proofErr w:type="spellEnd"/>
      <w:r w:rsidRPr="00475340">
        <w:rPr>
          <w:sz w:val="22"/>
          <w:szCs w:val="22"/>
        </w:rPr>
        <w:t xml:space="preserve">, D.O., </w:t>
      </w:r>
      <w:proofErr w:type="spellStart"/>
      <w:r w:rsidRPr="00475340">
        <w:rPr>
          <w:sz w:val="22"/>
          <w:szCs w:val="22"/>
        </w:rPr>
        <w:t>Okedu</w:t>
      </w:r>
      <w:proofErr w:type="spellEnd"/>
      <w:r w:rsidRPr="00475340">
        <w:rPr>
          <w:sz w:val="22"/>
          <w:szCs w:val="22"/>
        </w:rPr>
        <w:t xml:space="preserve">, K.E. and </w:t>
      </w:r>
      <w:proofErr w:type="spellStart"/>
      <w:r w:rsidRPr="00475340">
        <w:rPr>
          <w:sz w:val="22"/>
          <w:szCs w:val="22"/>
        </w:rPr>
        <w:t>Kalnoor</w:t>
      </w:r>
      <w:proofErr w:type="spellEnd"/>
      <w:r w:rsidRPr="00475340">
        <w:rPr>
          <w:sz w:val="22"/>
          <w:szCs w:val="22"/>
        </w:rPr>
        <w:t>, G. (2025) 'Estimation and forecasting of Nigeria's residential, commercial, and industrial electricity demands', IEEE Access, 13, pp. 112081–112101.</w:t>
      </w:r>
    </w:p>
    <w:p w14:paraId="75305CE0" w14:textId="77777777" w:rsidR="00475340" w:rsidRDefault="00475340">
      <w:pPr>
        <w:spacing w:after="120" w:line="276" w:lineRule="auto"/>
        <w:rPr>
          <w:sz w:val="22"/>
          <w:szCs w:val="22"/>
        </w:rPr>
      </w:pPr>
    </w:p>
    <w:p w14:paraId="3F94A738" w14:textId="77777777" w:rsidR="00475340" w:rsidRDefault="00475340">
      <w:pPr>
        <w:spacing w:after="120" w:line="276" w:lineRule="auto"/>
        <w:rPr>
          <w:sz w:val="22"/>
          <w:szCs w:val="22"/>
        </w:rPr>
      </w:pPr>
    </w:p>
    <w:p w14:paraId="5D8E5B68" w14:textId="77777777" w:rsidR="00475340" w:rsidRDefault="00475340">
      <w:pPr>
        <w:spacing w:after="120" w:line="276" w:lineRule="auto"/>
        <w:rPr>
          <w:sz w:val="22"/>
          <w:szCs w:val="22"/>
        </w:rPr>
      </w:pPr>
    </w:p>
    <w:p w14:paraId="2411DB75" w14:textId="77777777" w:rsidR="00475340" w:rsidRDefault="00475340">
      <w:pPr>
        <w:spacing w:after="120" w:line="276" w:lineRule="auto"/>
        <w:rPr>
          <w:sz w:val="22"/>
          <w:szCs w:val="22"/>
        </w:rPr>
      </w:pPr>
    </w:p>
    <w:p w14:paraId="024E1FFC" w14:textId="77777777" w:rsidR="00475340" w:rsidRDefault="00475340">
      <w:pPr>
        <w:spacing w:after="120" w:line="276" w:lineRule="auto"/>
        <w:rPr>
          <w:sz w:val="22"/>
          <w:szCs w:val="22"/>
        </w:rPr>
      </w:pPr>
    </w:p>
    <w:p w14:paraId="181B0049" w14:textId="77777777" w:rsidR="00475340" w:rsidRDefault="00475340">
      <w:pPr>
        <w:spacing w:after="120" w:line="276" w:lineRule="auto"/>
        <w:rPr>
          <w:sz w:val="22"/>
          <w:szCs w:val="22"/>
        </w:rPr>
      </w:pPr>
    </w:p>
    <w:p w14:paraId="54D9D90B" w14:textId="77777777" w:rsidR="00475340" w:rsidRDefault="00475340">
      <w:pPr>
        <w:spacing w:after="120" w:line="276" w:lineRule="auto"/>
        <w:rPr>
          <w:sz w:val="22"/>
          <w:szCs w:val="22"/>
        </w:rPr>
      </w:pPr>
    </w:p>
    <w:p w14:paraId="73D2ED28" w14:textId="77777777" w:rsidR="00475340" w:rsidRDefault="00475340">
      <w:pPr>
        <w:spacing w:after="120" w:line="276" w:lineRule="auto"/>
        <w:rPr>
          <w:sz w:val="22"/>
          <w:szCs w:val="22"/>
        </w:rPr>
      </w:pPr>
    </w:p>
    <w:p w14:paraId="4063ACF1" w14:textId="77777777" w:rsidR="00475340" w:rsidRDefault="00475340">
      <w:pPr>
        <w:spacing w:after="120" w:line="276" w:lineRule="auto"/>
        <w:rPr>
          <w:sz w:val="22"/>
          <w:szCs w:val="22"/>
        </w:rPr>
      </w:pPr>
    </w:p>
    <w:p w14:paraId="38CD9500" w14:textId="77777777" w:rsidR="00475340" w:rsidRDefault="00475340">
      <w:pPr>
        <w:spacing w:after="120" w:line="276" w:lineRule="auto"/>
        <w:rPr>
          <w:sz w:val="22"/>
          <w:szCs w:val="22"/>
        </w:rPr>
      </w:pPr>
    </w:p>
    <w:p w14:paraId="62679C8D" w14:textId="77777777" w:rsidR="00475340" w:rsidRDefault="00475340">
      <w:pPr>
        <w:spacing w:after="120" w:line="276" w:lineRule="auto"/>
        <w:rPr>
          <w:sz w:val="22"/>
          <w:szCs w:val="22"/>
        </w:rPr>
      </w:pPr>
    </w:p>
    <w:p w14:paraId="2AD23896" w14:textId="77777777" w:rsidR="00475340" w:rsidRDefault="00475340">
      <w:pPr>
        <w:spacing w:after="120" w:line="276" w:lineRule="auto"/>
        <w:rPr>
          <w:sz w:val="22"/>
          <w:szCs w:val="22"/>
        </w:rPr>
      </w:pPr>
    </w:p>
    <w:p w14:paraId="4B1B809C" w14:textId="77777777" w:rsidR="00475340" w:rsidRDefault="00475340">
      <w:pPr>
        <w:spacing w:after="120" w:line="276" w:lineRule="auto"/>
        <w:rPr>
          <w:sz w:val="22"/>
          <w:szCs w:val="22"/>
        </w:rPr>
      </w:pPr>
    </w:p>
    <w:p w14:paraId="1D5C0C82" w14:textId="77777777" w:rsidR="00475340" w:rsidRDefault="00475340">
      <w:pPr>
        <w:spacing w:after="120" w:line="276" w:lineRule="auto"/>
        <w:rPr>
          <w:sz w:val="22"/>
          <w:szCs w:val="22"/>
        </w:rPr>
      </w:pPr>
    </w:p>
    <w:p w14:paraId="32D96C8C" w14:textId="77777777" w:rsidR="00475340" w:rsidRDefault="00475340">
      <w:pPr>
        <w:spacing w:after="120" w:line="276" w:lineRule="auto"/>
        <w:rPr>
          <w:sz w:val="22"/>
          <w:szCs w:val="22"/>
        </w:rPr>
      </w:pPr>
    </w:p>
    <w:p w14:paraId="7ED791AA" w14:textId="77777777" w:rsidR="00475340" w:rsidRDefault="00475340">
      <w:pPr>
        <w:spacing w:after="120" w:line="276" w:lineRule="auto"/>
        <w:rPr>
          <w:sz w:val="22"/>
          <w:szCs w:val="22"/>
        </w:rPr>
      </w:pPr>
    </w:p>
    <w:p w14:paraId="1ABA39C1" w14:textId="77777777" w:rsidR="00475340" w:rsidRDefault="00475340">
      <w:pPr>
        <w:spacing w:after="120" w:line="276" w:lineRule="auto"/>
        <w:rPr>
          <w:sz w:val="22"/>
          <w:szCs w:val="22"/>
        </w:rPr>
      </w:pPr>
    </w:p>
    <w:p w14:paraId="2852BD92" w14:textId="77777777" w:rsidR="00475340" w:rsidRDefault="00475340">
      <w:pPr>
        <w:spacing w:after="120" w:line="276" w:lineRule="auto"/>
        <w:rPr>
          <w:sz w:val="22"/>
          <w:szCs w:val="22"/>
        </w:rPr>
      </w:pPr>
    </w:p>
    <w:p w14:paraId="5BA3318D" w14:textId="77777777" w:rsidR="00475340" w:rsidRDefault="00475340">
      <w:pPr>
        <w:spacing w:after="120" w:line="276" w:lineRule="auto"/>
        <w:rPr>
          <w:sz w:val="22"/>
          <w:szCs w:val="22"/>
        </w:rPr>
      </w:pPr>
    </w:p>
    <w:p w14:paraId="0C987AC1" w14:textId="77777777" w:rsidR="0011540A" w:rsidRDefault="0011540A">
      <w:pPr>
        <w:spacing w:after="120" w:line="276" w:lineRule="auto"/>
        <w:rPr>
          <w:sz w:val="22"/>
          <w:szCs w:val="22"/>
        </w:rPr>
      </w:pPr>
    </w:p>
    <w:p w14:paraId="25A85CDF" w14:textId="77777777" w:rsidR="0011540A" w:rsidRDefault="0011540A">
      <w:pPr>
        <w:spacing w:after="120" w:line="276" w:lineRule="auto"/>
        <w:rPr>
          <w:sz w:val="22"/>
          <w:szCs w:val="22"/>
        </w:rPr>
      </w:pPr>
    </w:p>
    <w:p w14:paraId="5595E1E4" w14:textId="77777777" w:rsidR="0011540A" w:rsidRDefault="0011540A">
      <w:pPr>
        <w:spacing w:after="120" w:line="276" w:lineRule="auto"/>
        <w:rPr>
          <w:sz w:val="22"/>
          <w:szCs w:val="22"/>
        </w:rPr>
      </w:pPr>
    </w:p>
    <w:p w14:paraId="039DE9F3" w14:textId="77777777" w:rsidR="00475340" w:rsidRDefault="00475340">
      <w:pPr>
        <w:spacing w:after="120" w:line="276" w:lineRule="auto"/>
      </w:pPr>
    </w:p>
    <w:p w14:paraId="18327DB9" w14:textId="77777777" w:rsidR="00FE02C2" w:rsidRDefault="00FE02C2" w:rsidP="00FE02C2">
      <w:pPr>
        <w:pStyle w:val="Heading1"/>
        <w:numPr>
          <w:ilvl w:val="0"/>
          <w:numId w:val="0"/>
        </w:numPr>
        <w:rPr>
          <w:lang w:eastAsia="en-GB"/>
        </w:rPr>
      </w:pPr>
      <w:r>
        <w:rPr>
          <w:lang w:eastAsia="en-GB"/>
        </w:rPr>
        <w:t>APPENDIX</w:t>
      </w:r>
    </w:p>
    <w:p w14:paraId="640DDF32" w14:textId="77777777" w:rsidR="00FE02C2" w:rsidRPr="00FE02C2" w:rsidRDefault="00FE02C2" w:rsidP="00FE02C2">
      <w:pPr>
        <w:pStyle w:val="NormalWeb"/>
        <w:spacing w:line="240" w:lineRule="auto"/>
        <w:rPr>
          <w:lang w:val="en-NG"/>
        </w:rPr>
      </w:pPr>
      <w:r>
        <w:rPr>
          <w:b/>
          <w:sz w:val="20"/>
          <w:szCs w:val="20"/>
        </w:rPr>
        <w:t xml:space="preserve">Table A1. </w:t>
      </w:r>
      <w:r>
        <w:rPr>
          <w:b/>
          <w:bCs/>
          <w:lang w:val="en-NG"/>
        </w:rPr>
        <w:t>Leave-one-out sensitivity of the estimated gap.</w:t>
      </w:r>
    </w:p>
    <w:tbl>
      <w:tblPr>
        <w:tblStyle w:val="TableGrid"/>
        <w:tblW w:w="0" w:type="auto"/>
        <w:tblLook w:val="04A0" w:firstRow="1" w:lastRow="0" w:firstColumn="1" w:lastColumn="0" w:noHBand="0" w:noVBand="1"/>
      </w:tblPr>
      <w:tblGrid>
        <w:gridCol w:w="3005"/>
        <w:gridCol w:w="3005"/>
        <w:gridCol w:w="3006"/>
      </w:tblGrid>
      <w:tr w:rsidR="00FE02C2" w14:paraId="1FC41A70" w14:textId="77777777" w:rsidTr="00FE02C2">
        <w:tc>
          <w:tcPr>
            <w:tcW w:w="3005" w:type="dxa"/>
          </w:tcPr>
          <w:p w14:paraId="03387BD3" w14:textId="77777777" w:rsidR="00FE02C2" w:rsidRPr="00FE02C2" w:rsidRDefault="00FE02C2" w:rsidP="00CE4032">
            <w:pPr>
              <w:rPr>
                <w:b/>
                <w:bCs/>
                <w:lang w:eastAsia="en-GB"/>
              </w:rPr>
            </w:pPr>
            <w:r>
              <w:rPr>
                <w:b/>
                <w:bCs/>
                <w:lang w:eastAsia="en-GB"/>
              </w:rPr>
              <w:t>Excluded</w:t>
            </w:r>
          </w:p>
        </w:tc>
        <w:tc>
          <w:tcPr>
            <w:tcW w:w="3005" w:type="dxa"/>
          </w:tcPr>
          <w:p w14:paraId="28F30E64" w14:textId="77777777" w:rsidR="00FE02C2" w:rsidRPr="00FE02C2" w:rsidRDefault="00FE02C2" w:rsidP="00CE4032">
            <w:pPr>
              <w:rPr>
                <w:b/>
                <w:bCs/>
                <w:lang w:eastAsia="en-GB"/>
              </w:rPr>
            </w:pPr>
            <w:r>
              <w:rPr>
                <w:b/>
                <w:bCs/>
                <w:lang w:eastAsia="en-GB"/>
              </w:rPr>
              <w:t>Gap (GW)</w:t>
            </w:r>
          </w:p>
        </w:tc>
        <w:tc>
          <w:tcPr>
            <w:tcW w:w="3006" w:type="dxa"/>
          </w:tcPr>
          <w:p w14:paraId="0F7BE9C6" w14:textId="77777777" w:rsidR="00FE02C2" w:rsidRPr="00FE02C2" w:rsidRDefault="00FE02C2" w:rsidP="00CE4032">
            <w:pPr>
              <w:rPr>
                <w:b/>
                <w:bCs/>
                <w:lang w:eastAsia="en-GB"/>
              </w:rPr>
            </w:pPr>
            <m:oMathPara>
              <m:oMath>
                <m:r>
                  <m:rPr>
                    <m:sty m:val="bi"/>
                  </m:rPr>
                  <w:rPr>
                    <w:rFonts w:ascii="Cambria Math" w:hAnsi="Cambria Math"/>
                    <w:lang w:eastAsia="en-GB"/>
                  </w:rPr>
                  <m:t>∆ from headline</m:t>
                </m:r>
              </m:oMath>
            </m:oMathPara>
          </w:p>
        </w:tc>
      </w:tr>
      <w:tr w:rsidR="00FE02C2" w14:paraId="0AD9163E" w14:textId="77777777" w:rsidTr="00FE02C2">
        <w:tc>
          <w:tcPr>
            <w:tcW w:w="3005" w:type="dxa"/>
          </w:tcPr>
          <w:p w14:paraId="4136F56E" w14:textId="77777777" w:rsidR="00FE02C2" w:rsidRDefault="00FE02C2" w:rsidP="00CE4032">
            <w:pPr>
              <w:rPr>
                <w:lang w:eastAsia="en-GB"/>
              </w:rPr>
            </w:pPr>
            <w:r>
              <w:rPr>
                <w:lang w:eastAsia="en-GB"/>
              </w:rPr>
              <w:t>Abuja</w:t>
            </w:r>
          </w:p>
        </w:tc>
        <w:tc>
          <w:tcPr>
            <w:tcW w:w="3005" w:type="dxa"/>
          </w:tcPr>
          <w:p w14:paraId="74726662" w14:textId="77777777" w:rsidR="00FE02C2" w:rsidRDefault="00FE02C2" w:rsidP="00CE4032">
            <w:pPr>
              <w:rPr>
                <w:lang w:eastAsia="en-GB"/>
              </w:rPr>
            </w:pPr>
            <w:r>
              <w:rPr>
                <w:lang w:eastAsia="en-GB"/>
              </w:rPr>
              <w:t>0.52</w:t>
            </w:r>
          </w:p>
        </w:tc>
        <w:tc>
          <w:tcPr>
            <w:tcW w:w="3006" w:type="dxa"/>
          </w:tcPr>
          <w:p w14:paraId="63CEAD3E" w14:textId="77777777" w:rsidR="00FE02C2" w:rsidRDefault="00FE02C2" w:rsidP="00CE4032">
            <w:pPr>
              <w:rPr>
                <w:lang w:eastAsia="en-GB"/>
              </w:rPr>
            </w:pPr>
            <w:r>
              <w:rPr>
                <w:lang w:eastAsia="en-GB"/>
              </w:rPr>
              <w:t>-1.39</w:t>
            </w:r>
          </w:p>
        </w:tc>
      </w:tr>
      <w:tr w:rsidR="00FE02C2" w14:paraId="7422E121" w14:textId="77777777" w:rsidTr="00FE02C2">
        <w:tc>
          <w:tcPr>
            <w:tcW w:w="3005" w:type="dxa"/>
          </w:tcPr>
          <w:p w14:paraId="4536FF85" w14:textId="77777777" w:rsidR="00FE02C2" w:rsidRDefault="00FE02C2" w:rsidP="00CE4032">
            <w:pPr>
              <w:rPr>
                <w:lang w:eastAsia="en-GB"/>
              </w:rPr>
            </w:pPr>
            <w:r>
              <w:rPr>
                <w:lang w:eastAsia="en-GB"/>
              </w:rPr>
              <w:t>Eko</w:t>
            </w:r>
          </w:p>
        </w:tc>
        <w:tc>
          <w:tcPr>
            <w:tcW w:w="3005" w:type="dxa"/>
          </w:tcPr>
          <w:p w14:paraId="69F57797" w14:textId="77777777" w:rsidR="00FE02C2" w:rsidRDefault="00FE02C2" w:rsidP="00CE4032">
            <w:pPr>
              <w:rPr>
                <w:lang w:eastAsia="en-GB"/>
              </w:rPr>
            </w:pPr>
            <w:r>
              <w:rPr>
                <w:lang w:eastAsia="en-GB"/>
              </w:rPr>
              <w:t>1.48</w:t>
            </w:r>
          </w:p>
        </w:tc>
        <w:tc>
          <w:tcPr>
            <w:tcW w:w="3006" w:type="dxa"/>
          </w:tcPr>
          <w:p w14:paraId="08F9D9BD" w14:textId="77777777" w:rsidR="00FE02C2" w:rsidRDefault="00FE02C2" w:rsidP="00CE4032">
            <w:pPr>
              <w:rPr>
                <w:lang w:eastAsia="en-GB"/>
              </w:rPr>
            </w:pPr>
            <w:r>
              <w:rPr>
                <w:lang w:eastAsia="en-GB"/>
              </w:rPr>
              <w:t>-0.43</w:t>
            </w:r>
          </w:p>
        </w:tc>
      </w:tr>
      <w:tr w:rsidR="00FE02C2" w14:paraId="23A74C72" w14:textId="77777777" w:rsidTr="00FE02C2">
        <w:tc>
          <w:tcPr>
            <w:tcW w:w="3005" w:type="dxa"/>
          </w:tcPr>
          <w:p w14:paraId="7923950A" w14:textId="77777777" w:rsidR="00FE02C2" w:rsidRDefault="00FE02C2" w:rsidP="00CE4032">
            <w:pPr>
              <w:rPr>
                <w:lang w:eastAsia="en-GB"/>
              </w:rPr>
            </w:pPr>
            <w:r>
              <w:rPr>
                <w:lang w:eastAsia="en-GB"/>
              </w:rPr>
              <w:t>Ikeja</w:t>
            </w:r>
          </w:p>
        </w:tc>
        <w:tc>
          <w:tcPr>
            <w:tcW w:w="3005" w:type="dxa"/>
          </w:tcPr>
          <w:p w14:paraId="651989C1" w14:textId="77777777" w:rsidR="00FE02C2" w:rsidRDefault="00FE02C2" w:rsidP="00CE4032">
            <w:pPr>
              <w:rPr>
                <w:lang w:eastAsia="en-GB"/>
              </w:rPr>
            </w:pPr>
            <w:r>
              <w:rPr>
                <w:lang w:eastAsia="en-GB"/>
              </w:rPr>
              <w:t>1.40</w:t>
            </w:r>
          </w:p>
        </w:tc>
        <w:tc>
          <w:tcPr>
            <w:tcW w:w="3006" w:type="dxa"/>
          </w:tcPr>
          <w:p w14:paraId="1FC6AB53" w14:textId="77777777" w:rsidR="00FE02C2" w:rsidRDefault="00FE02C2" w:rsidP="00CE4032">
            <w:pPr>
              <w:rPr>
                <w:lang w:eastAsia="en-GB"/>
              </w:rPr>
            </w:pPr>
            <w:r>
              <w:rPr>
                <w:lang w:eastAsia="en-GB"/>
              </w:rPr>
              <w:t>-0.51</w:t>
            </w:r>
          </w:p>
        </w:tc>
      </w:tr>
      <w:tr w:rsidR="00FE02C2" w14:paraId="289EB07B" w14:textId="77777777" w:rsidTr="00FE02C2">
        <w:tc>
          <w:tcPr>
            <w:tcW w:w="3005" w:type="dxa"/>
          </w:tcPr>
          <w:p w14:paraId="642C7B37" w14:textId="77777777" w:rsidR="00FE02C2" w:rsidRDefault="00FE02C2" w:rsidP="00CE4032">
            <w:pPr>
              <w:rPr>
                <w:lang w:eastAsia="en-GB"/>
              </w:rPr>
            </w:pPr>
            <w:r>
              <w:rPr>
                <w:lang w:eastAsia="en-GB"/>
              </w:rPr>
              <w:t>Benin</w:t>
            </w:r>
          </w:p>
        </w:tc>
        <w:tc>
          <w:tcPr>
            <w:tcW w:w="3005" w:type="dxa"/>
          </w:tcPr>
          <w:p w14:paraId="197FE9F7" w14:textId="77777777" w:rsidR="00FE02C2" w:rsidRDefault="00FE02C2" w:rsidP="00CE4032">
            <w:pPr>
              <w:rPr>
                <w:lang w:eastAsia="en-GB"/>
              </w:rPr>
            </w:pPr>
            <w:r>
              <w:rPr>
                <w:lang w:eastAsia="en-GB"/>
              </w:rPr>
              <w:t>1.93</w:t>
            </w:r>
          </w:p>
        </w:tc>
        <w:tc>
          <w:tcPr>
            <w:tcW w:w="3006" w:type="dxa"/>
          </w:tcPr>
          <w:p w14:paraId="5B3F5B4E" w14:textId="77777777" w:rsidR="00FE02C2" w:rsidRDefault="00FE02C2" w:rsidP="00CE4032">
            <w:pPr>
              <w:rPr>
                <w:lang w:eastAsia="en-GB"/>
              </w:rPr>
            </w:pPr>
            <w:r>
              <w:rPr>
                <w:lang w:eastAsia="en-GB"/>
              </w:rPr>
              <w:t>+0.02</w:t>
            </w:r>
          </w:p>
        </w:tc>
      </w:tr>
      <w:tr w:rsidR="00FE02C2" w14:paraId="1AF61B45" w14:textId="77777777" w:rsidTr="00FE02C2">
        <w:tc>
          <w:tcPr>
            <w:tcW w:w="3005" w:type="dxa"/>
          </w:tcPr>
          <w:p w14:paraId="6AE51CCC" w14:textId="77777777" w:rsidR="00FE02C2" w:rsidRDefault="00FE02C2" w:rsidP="00CE4032">
            <w:pPr>
              <w:rPr>
                <w:lang w:eastAsia="en-GB"/>
              </w:rPr>
            </w:pPr>
            <w:r>
              <w:rPr>
                <w:lang w:eastAsia="en-GB"/>
              </w:rPr>
              <w:t>Enugu</w:t>
            </w:r>
          </w:p>
        </w:tc>
        <w:tc>
          <w:tcPr>
            <w:tcW w:w="3005" w:type="dxa"/>
          </w:tcPr>
          <w:p w14:paraId="728EAE33" w14:textId="77777777" w:rsidR="00FE02C2" w:rsidRDefault="00FE02C2" w:rsidP="00CE4032">
            <w:pPr>
              <w:rPr>
                <w:lang w:eastAsia="en-GB"/>
              </w:rPr>
            </w:pPr>
            <w:r>
              <w:rPr>
                <w:lang w:eastAsia="en-GB"/>
              </w:rPr>
              <w:t>1.91</w:t>
            </w:r>
          </w:p>
        </w:tc>
        <w:tc>
          <w:tcPr>
            <w:tcW w:w="3006" w:type="dxa"/>
          </w:tcPr>
          <w:p w14:paraId="66BDD08A" w14:textId="77777777" w:rsidR="00FE02C2" w:rsidRDefault="00FE02C2" w:rsidP="00CE4032">
            <w:pPr>
              <w:rPr>
                <w:lang w:eastAsia="en-GB"/>
              </w:rPr>
            </w:pPr>
            <w:r>
              <w:rPr>
                <w:lang w:eastAsia="en-GB"/>
              </w:rPr>
              <w:t>+0.00</w:t>
            </w:r>
          </w:p>
        </w:tc>
      </w:tr>
      <w:tr w:rsidR="00FE02C2" w14:paraId="1E2AF418" w14:textId="77777777" w:rsidTr="00FE02C2">
        <w:tc>
          <w:tcPr>
            <w:tcW w:w="3005" w:type="dxa"/>
          </w:tcPr>
          <w:p w14:paraId="6E80F770" w14:textId="77777777" w:rsidR="00FE02C2" w:rsidRDefault="00FE02C2" w:rsidP="00CE4032">
            <w:pPr>
              <w:rPr>
                <w:lang w:eastAsia="en-GB"/>
              </w:rPr>
            </w:pPr>
            <w:r>
              <w:rPr>
                <w:lang w:eastAsia="en-GB"/>
              </w:rPr>
              <w:t>Ibadan</w:t>
            </w:r>
          </w:p>
        </w:tc>
        <w:tc>
          <w:tcPr>
            <w:tcW w:w="3005" w:type="dxa"/>
          </w:tcPr>
          <w:p w14:paraId="64A16791" w14:textId="77777777" w:rsidR="00FE02C2" w:rsidRDefault="00FE02C2" w:rsidP="00CE4032">
            <w:pPr>
              <w:rPr>
                <w:lang w:eastAsia="en-GB"/>
              </w:rPr>
            </w:pPr>
            <w:r>
              <w:rPr>
                <w:lang w:eastAsia="en-GB"/>
              </w:rPr>
              <w:t>2.14</w:t>
            </w:r>
          </w:p>
        </w:tc>
        <w:tc>
          <w:tcPr>
            <w:tcW w:w="3006" w:type="dxa"/>
          </w:tcPr>
          <w:p w14:paraId="1F0F0476" w14:textId="77777777" w:rsidR="00FE02C2" w:rsidRDefault="00FE02C2" w:rsidP="00CE4032">
            <w:pPr>
              <w:rPr>
                <w:lang w:eastAsia="en-GB"/>
              </w:rPr>
            </w:pPr>
            <w:r>
              <w:rPr>
                <w:lang w:eastAsia="en-GB"/>
              </w:rPr>
              <w:t>+0.23</w:t>
            </w:r>
          </w:p>
        </w:tc>
      </w:tr>
      <w:tr w:rsidR="00FE02C2" w14:paraId="7BFE71C5" w14:textId="77777777" w:rsidTr="00FE02C2">
        <w:tc>
          <w:tcPr>
            <w:tcW w:w="3005" w:type="dxa"/>
          </w:tcPr>
          <w:p w14:paraId="70E2EC4C" w14:textId="77777777" w:rsidR="00FE02C2" w:rsidRDefault="00FE02C2" w:rsidP="00CE4032">
            <w:pPr>
              <w:rPr>
                <w:lang w:eastAsia="en-GB"/>
              </w:rPr>
            </w:pPr>
            <w:r>
              <w:rPr>
                <w:lang w:eastAsia="en-GB"/>
              </w:rPr>
              <w:t>Jos</w:t>
            </w:r>
          </w:p>
        </w:tc>
        <w:tc>
          <w:tcPr>
            <w:tcW w:w="3005" w:type="dxa"/>
          </w:tcPr>
          <w:p w14:paraId="4C90068F" w14:textId="77777777" w:rsidR="00FE02C2" w:rsidRDefault="00FE02C2" w:rsidP="00CE4032">
            <w:pPr>
              <w:rPr>
                <w:lang w:eastAsia="en-GB"/>
              </w:rPr>
            </w:pPr>
            <w:r>
              <w:rPr>
                <w:lang w:eastAsia="en-GB"/>
              </w:rPr>
              <w:t>1.90</w:t>
            </w:r>
          </w:p>
        </w:tc>
        <w:tc>
          <w:tcPr>
            <w:tcW w:w="3006" w:type="dxa"/>
          </w:tcPr>
          <w:p w14:paraId="4C588BF7" w14:textId="77777777" w:rsidR="00FE02C2" w:rsidRDefault="00FE02C2" w:rsidP="00CE4032">
            <w:pPr>
              <w:rPr>
                <w:lang w:eastAsia="en-GB"/>
              </w:rPr>
            </w:pPr>
            <w:r>
              <w:rPr>
                <w:lang w:eastAsia="en-GB"/>
              </w:rPr>
              <w:t>-0.01</w:t>
            </w:r>
          </w:p>
        </w:tc>
      </w:tr>
      <w:tr w:rsidR="00FE02C2" w14:paraId="7F93FF14" w14:textId="77777777" w:rsidTr="00FE02C2">
        <w:tc>
          <w:tcPr>
            <w:tcW w:w="3005" w:type="dxa"/>
          </w:tcPr>
          <w:p w14:paraId="6B5F9A1C" w14:textId="77777777" w:rsidR="00FE02C2" w:rsidRDefault="00FE02C2" w:rsidP="00CE4032">
            <w:pPr>
              <w:rPr>
                <w:lang w:eastAsia="en-GB"/>
              </w:rPr>
            </w:pPr>
            <w:r>
              <w:rPr>
                <w:lang w:eastAsia="en-GB"/>
              </w:rPr>
              <w:t>Kaduna</w:t>
            </w:r>
          </w:p>
        </w:tc>
        <w:tc>
          <w:tcPr>
            <w:tcW w:w="3005" w:type="dxa"/>
          </w:tcPr>
          <w:p w14:paraId="4DA814A4" w14:textId="77777777" w:rsidR="00FE02C2" w:rsidRDefault="00FE02C2" w:rsidP="00CE4032">
            <w:pPr>
              <w:rPr>
                <w:lang w:eastAsia="en-GB"/>
              </w:rPr>
            </w:pPr>
            <w:r>
              <w:rPr>
                <w:lang w:eastAsia="en-GB"/>
              </w:rPr>
              <w:t>1.92</w:t>
            </w:r>
          </w:p>
        </w:tc>
        <w:tc>
          <w:tcPr>
            <w:tcW w:w="3006" w:type="dxa"/>
          </w:tcPr>
          <w:p w14:paraId="442CA3C8" w14:textId="77777777" w:rsidR="00FE02C2" w:rsidRDefault="00FE02C2" w:rsidP="00CE4032">
            <w:pPr>
              <w:rPr>
                <w:lang w:eastAsia="en-GB"/>
              </w:rPr>
            </w:pPr>
            <w:r>
              <w:rPr>
                <w:lang w:eastAsia="en-GB"/>
              </w:rPr>
              <w:t>+0.01</w:t>
            </w:r>
          </w:p>
        </w:tc>
      </w:tr>
      <w:tr w:rsidR="00FE02C2" w14:paraId="045681EE" w14:textId="77777777" w:rsidTr="00FE02C2">
        <w:tc>
          <w:tcPr>
            <w:tcW w:w="3005" w:type="dxa"/>
          </w:tcPr>
          <w:p w14:paraId="6BAD90C8" w14:textId="77777777" w:rsidR="00FE02C2" w:rsidRDefault="00FE02C2" w:rsidP="00CE4032">
            <w:pPr>
              <w:rPr>
                <w:lang w:eastAsia="en-GB"/>
              </w:rPr>
            </w:pPr>
            <w:r>
              <w:rPr>
                <w:lang w:eastAsia="en-GB"/>
              </w:rPr>
              <w:t>Kano</w:t>
            </w:r>
          </w:p>
        </w:tc>
        <w:tc>
          <w:tcPr>
            <w:tcW w:w="3005" w:type="dxa"/>
          </w:tcPr>
          <w:p w14:paraId="7C9845DC" w14:textId="77777777" w:rsidR="00FE02C2" w:rsidRDefault="00FE02C2" w:rsidP="00CE4032">
            <w:pPr>
              <w:rPr>
                <w:lang w:eastAsia="en-GB"/>
              </w:rPr>
            </w:pPr>
            <w:r>
              <w:rPr>
                <w:lang w:eastAsia="en-GB"/>
              </w:rPr>
              <w:t>1.91</w:t>
            </w:r>
          </w:p>
        </w:tc>
        <w:tc>
          <w:tcPr>
            <w:tcW w:w="3006" w:type="dxa"/>
          </w:tcPr>
          <w:p w14:paraId="78BCF6D7" w14:textId="77777777" w:rsidR="00FE02C2" w:rsidRDefault="00FE02C2" w:rsidP="00CE4032">
            <w:pPr>
              <w:rPr>
                <w:lang w:eastAsia="en-GB"/>
              </w:rPr>
            </w:pPr>
            <w:r>
              <w:rPr>
                <w:lang w:eastAsia="en-GB"/>
              </w:rPr>
              <w:t>-0.00</w:t>
            </w:r>
          </w:p>
        </w:tc>
      </w:tr>
      <w:tr w:rsidR="00FE02C2" w14:paraId="53464A07" w14:textId="77777777" w:rsidTr="00FE02C2">
        <w:tc>
          <w:tcPr>
            <w:tcW w:w="3005" w:type="dxa"/>
          </w:tcPr>
          <w:p w14:paraId="05C349A0" w14:textId="77777777" w:rsidR="00FE02C2" w:rsidRDefault="00FE02C2" w:rsidP="00CE4032">
            <w:pPr>
              <w:rPr>
                <w:lang w:eastAsia="en-GB"/>
              </w:rPr>
            </w:pPr>
            <w:r>
              <w:rPr>
                <w:lang w:eastAsia="en-GB"/>
              </w:rPr>
              <w:t>Port Harcourt</w:t>
            </w:r>
          </w:p>
        </w:tc>
        <w:tc>
          <w:tcPr>
            <w:tcW w:w="3005" w:type="dxa"/>
          </w:tcPr>
          <w:p w14:paraId="2FEC4183" w14:textId="77777777" w:rsidR="00FE02C2" w:rsidRDefault="00FE02C2" w:rsidP="00CE4032">
            <w:pPr>
              <w:rPr>
                <w:lang w:eastAsia="en-GB"/>
              </w:rPr>
            </w:pPr>
            <w:r>
              <w:rPr>
                <w:lang w:eastAsia="en-GB"/>
              </w:rPr>
              <w:t>2.21</w:t>
            </w:r>
          </w:p>
        </w:tc>
        <w:tc>
          <w:tcPr>
            <w:tcW w:w="3006" w:type="dxa"/>
          </w:tcPr>
          <w:p w14:paraId="159A15E2" w14:textId="6C235F8D" w:rsidR="00FE02C2" w:rsidRDefault="00FE02C2" w:rsidP="00CE4032">
            <w:pPr>
              <w:rPr>
                <w:lang w:eastAsia="en-GB"/>
              </w:rPr>
            </w:pPr>
            <w:r>
              <w:rPr>
                <w:lang w:eastAsia="en-GB"/>
              </w:rPr>
              <w:t>+0.3</w:t>
            </w:r>
            <w:r w:rsidR="00E7724F">
              <w:rPr>
                <w:lang w:eastAsia="en-GB"/>
              </w:rPr>
              <w:t>0</w:t>
            </w:r>
          </w:p>
        </w:tc>
      </w:tr>
      <w:tr w:rsidR="00FE02C2" w14:paraId="72247818" w14:textId="77777777" w:rsidTr="00FE02C2">
        <w:tc>
          <w:tcPr>
            <w:tcW w:w="3005" w:type="dxa"/>
          </w:tcPr>
          <w:p w14:paraId="4A92E0F5" w14:textId="77777777" w:rsidR="00FE02C2" w:rsidRDefault="00FE02C2" w:rsidP="00CE4032">
            <w:pPr>
              <w:rPr>
                <w:lang w:eastAsia="en-GB"/>
              </w:rPr>
            </w:pPr>
            <w:r>
              <w:rPr>
                <w:lang w:eastAsia="en-GB"/>
              </w:rPr>
              <w:t>Yola</w:t>
            </w:r>
          </w:p>
        </w:tc>
        <w:tc>
          <w:tcPr>
            <w:tcW w:w="3005" w:type="dxa"/>
          </w:tcPr>
          <w:p w14:paraId="7FCCFEDA" w14:textId="77777777" w:rsidR="00FE02C2" w:rsidRDefault="00FE02C2" w:rsidP="00CE4032">
            <w:pPr>
              <w:rPr>
                <w:lang w:eastAsia="en-GB"/>
              </w:rPr>
            </w:pPr>
            <w:r>
              <w:rPr>
                <w:lang w:eastAsia="en-GB"/>
              </w:rPr>
              <w:t>1.91</w:t>
            </w:r>
          </w:p>
        </w:tc>
        <w:tc>
          <w:tcPr>
            <w:tcW w:w="3006" w:type="dxa"/>
          </w:tcPr>
          <w:p w14:paraId="7659E7F4" w14:textId="77777777" w:rsidR="00FE02C2" w:rsidRDefault="00FE02C2" w:rsidP="00CE4032">
            <w:pPr>
              <w:rPr>
                <w:lang w:eastAsia="en-GB"/>
              </w:rPr>
            </w:pPr>
            <w:r>
              <w:rPr>
                <w:lang w:eastAsia="en-GB"/>
              </w:rPr>
              <w:t>+0.00</w:t>
            </w:r>
          </w:p>
        </w:tc>
      </w:tr>
    </w:tbl>
    <w:p w14:paraId="7C2025AE" w14:textId="77777777" w:rsidR="00FE02C2" w:rsidRPr="00AA11A5" w:rsidRDefault="00FE02C2" w:rsidP="00CE4032">
      <w:pPr>
        <w:rPr>
          <w:lang w:eastAsia="en-GB"/>
        </w:rPr>
      </w:pPr>
      <w:r>
        <w:rPr>
          <w:lang w:eastAsia="en-GB"/>
        </w:rPr>
        <w:t>Quarterly exclusions omitted for brevity; range 1.12–2.12 GW, largest deviations at 2022Q4, 2025Q4, and 2026Q1 (Section 6.4). Full table available on request or in the project repository.</w:t>
      </w:r>
    </w:p>
    <w:sectPr w:rsidR="00FE02C2" w:rsidRPr="00AA11A5" w:rsidSect="00787FC2">
      <w:pgSz w:w="11906" w:h="16838"/>
      <w:pgMar w:top="1440" w:right="1440" w:bottom="1440" w:left="1440" w:header="680"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CBCD660" w14:textId="77777777" w:rsidR="0016669D" w:rsidRDefault="0016669D">
      <w:pPr>
        <w:spacing w:after="0"/>
      </w:pPr>
      <w:r>
        <w:separator/>
      </w:r>
    </w:p>
  </w:endnote>
  <w:endnote w:type="continuationSeparator" w:id="0">
    <w:p w14:paraId="64876105" w14:textId="77777777" w:rsidR="0016669D" w:rsidRDefault="0016669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68FAA00" w14:textId="77777777" w:rsidR="0016669D" w:rsidRDefault="0016669D">
      <w:pPr>
        <w:spacing w:after="0"/>
      </w:pPr>
      <w:r>
        <w:separator/>
      </w:r>
    </w:p>
  </w:footnote>
  <w:footnote w:type="continuationSeparator" w:id="0">
    <w:p w14:paraId="48530B20" w14:textId="77777777" w:rsidR="0016669D" w:rsidRDefault="0016669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EE00FB"/>
    <w:multiLevelType w:val="hybridMultilevel"/>
    <w:tmpl w:val="54525F9C"/>
    <w:lvl w:ilvl="0" w:tplc="0809001B">
      <w:start w:val="1"/>
      <w:numFmt w:val="lowerRoman"/>
      <w:lvlText w:val="%1."/>
      <w:lvlJc w:val="right"/>
      <w:pPr>
        <w:ind w:left="72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B8E6AC2"/>
    <w:multiLevelType w:val="hybridMultilevel"/>
    <w:tmpl w:val="8104E650"/>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E4A59F4"/>
    <w:multiLevelType w:val="hybridMultilevel"/>
    <w:tmpl w:val="4AFAB0B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1203C36"/>
    <w:multiLevelType w:val="multilevel"/>
    <w:tmpl w:val="3B1C1716"/>
    <w:styleLink w:val="CurrentList10"/>
    <w:lvl w:ilvl="0">
      <w:start w:val="1"/>
      <w:numFmt w:val="decimal"/>
      <w:lvlText w:val="%1"/>
      <w:lvlJc w:val="left"/>
      <w:pPr>
        <w:ind w:left="432" w:hanging="432"/>
      </w:pPr>
      <w:rPr>
        <w:rFonts w:hint="default"/>
      </w:rPr>
    </w:lvl>
    <w:lvl w:ilvl="1">
      <w:start w:val="1"/>
      <w:numFmt w:val="decimal"/>
      <w:lvlText w:val="2.%2"/>
      <w:lvlJc w:val="left"/>
      <w:pPr>
        <w:ind w:left="576" w:hanging="576"/>
      </w:pPr>
      <w:rPr>
        <w:rFonts w:hint="default"/>
        <w:b/>
        <w:bCs w:val="0"/>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12B86154"/>
    <w:multiLevelType w:val="multilevel"/>
    <w:tmpl w:val="2E5E4764"/>
    <w:lvl w:ilvl="0">
      <w:start w:val="1"/>
      <w:numFmt w:val="upperRoman"/>
      <w:lvlText w:val="%1."/>
      <w:lvlJc w:val="right"/>
      <w:pPr>
        <w:ind w:left="720" w:hanging="360"/>
      </w:pPr>
      <w:rPr>
        <w:b w:val="0"/>
        <w:bCs/>
      </w:rPr>
    </w:lvl>
    <w:lvl w:ilvl="1">
      <w:start w:val="2"/>
      <w:numFmt w:val="decimal"/>
      <w:isLgl/>
      <w:lvlText w:val="%1.%2"/>
      <w:lvlJc w:val="left"/>
      <w:pPr>
        <w:ind w:left="940" w:hanging="58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4385F65"/>
    <w:multiLevelType w:val="multilevel"/>
    <w:tmpl w:val="01FEC8A8"/>
    <w:styleLink w:val="CurrentList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b/>
        <w:bCs w:val="0"/>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143C6734"/>
    <w:multiLevelType w:val="hybridMultilevel"/>
    <w:tmpl w:val="962201A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8150BB5"/>
    <w:multiLevelType w:val="multilevel"/>
    <w:tmpl w:val="06B00914"/>
    <w:styleLink w:val="CurrentList1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184E29A1"/>
    <w:multiLevelType w:val="hybridMultilevel"/>
    <w:tmpl w:val="9112CAE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93A723B"/>
    <w:multiLevelType w:val="hybridMultilevel"/>
    <w:tmpl w:val="A1FCDA0C"/>
    <w:lvl w:ilvl="0" w:tplc="08090013">
      <w:start w:val="1"/>
      <w:numFmt w:val="upperRoman"/>
      <w:lvlText w:val="%1."/>
      <w:lvlJc w:val="right"/>
      <w:pPr>
        <w:ind w:left="720" w:hanging="360"/>
      </w:pPr>
      <w:rPr>
        <w:b w:val="0"/>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A597F07"/>
    <w:multiLevelType w:val="multilevel"/>
    <w:tmpl w:val="5EA44E28"/>
    <w:lvl w:ilvl="0">
      <w:start w:val="1"/>
      <w:numFmt w:val="upperRoman"/>
      <w:lvlText w:val="%1."/>
      <w:lvlJc w:val="right"/>
      <w:pPr>
        <w:ind w:left="720" w:hanging="360"/>
      </w:pPr>
      <w:rPr>
        <w:b w:val="0"/>
        <w:bCs/>
      </w:rPr>
    </w:lvl>
    <w:lvl w:ilvl="1">
      <w:start w:val="5"/>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1E4E5084"/>
    <w:multiLevelType w:val="hybridMultilevel"/>
    <w:tmpl w:val="5C8A9C28"/>
    <w:lvl w:ilvl="0" w:tplc="9990C032">
      <w:start w:val="1"/>
      <w:numFmt w:val="upperRoman"/>
      <w:lvlText w:val="%1."/>
      <w:lvlJc w:val="right"/>
      <w:pPr>
        <w:ind w:left="720" w:hanging="360"/>
      </w:pPr>
      <w:rPr>
        <w:b w:val="0"/>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0C61131"/>
    <w:multiLevelType w:val="hybridMultilevel"/>
    <w:tmpl w:val="229C0FA0"/>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1271EE8"/>
    <w:multiLevelType w:val="hybridMultilevel"/>
    <w:tmpl w:val="968CF542"/>
    <w:lvl w:ilvl="0" w:tplc="9990C032">
      <w:start w:val="1"/>
      <w:numFmt w:val="upperRoman"/>
      <w:lvlText w:val="%1."/>
      <w:lvlJc w:val="right"/>
      <w:pPr>
        <w:ind w:left="720" w:hanging="360"/>
      </w:pPr>
      <w:rPr>
        <w:b w:val="0"/>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2375312"/>
    <w:multiLevelType w:val="multilevel"/>
    <w:tmpl w:val="27929632"/>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25683C32"/>
    <w:multiLevelType w:val="multilevel"/>
    <w:tmpl w:val="54B297CC"/>
    <w:styleLink w:val="CurrentList11"/>
    <w:lvl w:ilvl="0">
      <w:start w:val="1"/>
      <w:numFmt w:val="decimal"/>
      <w:lvlText w:val="%1"/>
      <w:lvlJc w:val="left"/>
      <w:pPr>
        <w:ind w:left="432" w:hanging="432"/>
      </w:pPr>
      <w:rPr>
        <w:rFonts w:hint="default"/>
      </w:rPr>
    </w:lvl>
    <w:lvl w:ilvl="1">
      <w:start w:val="1"/>
      <w:numFmt w:val="decimal"/>
      <w:lvlText w:val="2.%2"/>
      <w:lvlJc w:val="left"/>
      <w:pPr>
        <w:ind w:left="576" w:hanging="576"/>
      </w:p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b/>
        <w:bCs/>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28993692"/>
    <w:multiLevelType w:val="multilevel"/>
    <w:tmpl w:val="63842956"/>
    <w:lvl w:ilvl="0">
      <w:start w:val="3"/>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2D920063"/>
    <w:multiLevelType w:val="multilevel"/>
    <w:tmpl w:val="3B1C1716"/>
    <w:styleLink w:val="CurrentList8"/>
    <w:lvl w:ilvl="0">
      <w:start w:val="1"/>
      <w:numFmt w:val="decimal"/>
      <w:lvlText w:val="%1"/>
      <w:lvlJc w:val="left"/>
      <w:pPr>
        <w:ind w:left="432" w:hanging="432"/>
      </w:pPr>
      <w:rPr>
        <w:rFonts w:hint="default"/>
      </w:rPr>
    </w:lvl>
    <w:lvl w:ilvl="1">
      <w:start w:val="1"/>
      <w:numFmt w:val="decimal"/>
      <w:lvlText w:val="2.%2"/>
      <w:lvlJc w:val="left"/>
      <w:pPr>
        <w:ind w:left="576" w:hanging="576"/>
      </w:pPr>
      <w:rPr>
        <w:rFonts w:hint="default"/>
        <w:b/>
        <w:bCs w:val="0"/>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8" w15:restartNumberingAfterBreak="0">
    <w:nsid w:val="2FCA25A9"/>
    <w:multiLevelType w:val="multilevel"/>
    <w:tmpl w:val="06B0091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30210BA0"/>
    <w:multiLevelType w:val="multilevel"/>
    <w:tmpl w:val="464E76C4"/>
    <w:lvl w:ilvl="0">
      <w:start w:val="5"/>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0" w15:restartNumberingAfterBreak="0">
    <w:nsid w:val="313A3439"/>
    <w:multiLevelType w:val="multilevel"/>
    <w:tmpl w:val="5826188E"/>
    <w:lvl w:ilvl="0">
      <w:start w:val="3"/>
      <w:numFmt w:val="decimal"/>
      <w:lvlText w:val="%1"/>
      <w:lvlJc w:val="left"/>
      <w:pPr>
        <w:ind w:left="520" w:hanging="520"/>
      </w:pPr>
      <w:rPr>
        <w:rFonts w:hint="default"/>
      </w:rPr>
    </w:lvl>
    <w:lvl w:ilvl="1">
      <w:start w:val="3"/>
      <w:numFmt w:val="decimal"/>
      <w:lvlText w:val="%1.%2"/>
      <w:lvlJc w:val="left"/>
      <w:pPr>
        <w:ind w:left="520" w:hanging="5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31B2485E"/>
    <w:multiLevelType w:val="multilevel"/>
    <w:tmpl w:val="C6F8B7E0"/>
    <w:lvl w:ilvl="0">
      <w:start w:val="1"/>
      <w:numFmt w:val="decimal"/>
      <w:pStyle w:val="Heading1"/>
      <w:lvlText w:val="%1"/>
      <w:lvlJc w:val="left"/>
      <w:pPr>
        <w:ind w:left="432" w:hanging="432"/>
      </w:pPr>
      <w:rPr>
        <w:rFonts w:hint="default"/>
      </w:rPr>
    </w:lvl>
    <w:lvl w:ilvl="1">
      <w:numFmt w:val="decimal"/>
      <w:pStyle w:val="Heading2"/>
      <w:lvlText w:val="5.%2"/>
      <w:lvlJc w:val="left"/>
      <w:pPr>
        <w:ind w:left="576" w:hanging="576"/>
      </w:pPr>
      <w:rPr>
        <w:rFonts w:hint="default"/>
      </w:rPr>
    </w:lvl>
    <w:lvl w:ilvl="2">
      <w:start w:val="1"/>
      <w:numFmt w:val="decimal"/>
      <w:pStyle w:val="Heading3"/>
      <w:lvlText w:val="4.2.%3"/>
      <w:lvlJc w:val="left"/>
      <w:pPr>
        <w:ind w:left="720" w:hanging="720"/>
      </w:pPr>
      <w:rPr>
        <w:rFonts w:hint="default"/>
      </w:rPr>
    </w:lvl>
    <w:lvl w:ilvl="3">
      <w:start w:val="1"/>
      <w:numFmt w:val="decimal"/>
      <w:pStyle w:val="Heading4"/>
      <w:lvlText w:val="%1.%2.%3.%4"/>
      <w:lvlJc w:val="left"/>
      <w:pPr>
        <w:ind w:left="864" w:hanging="864"/>
      </w:pPr>
      <w:rPr>
        <w:rFonts w:hint="default"/>
        <w:b/>
        <w:bCs/>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2" w15:restartNumberingAfterBreak="0">
    <w:nsid w:val="3221637E"/>
    <w:multiLevelType w:val="hybridMultilevel"/>
    <w:tmpl w:val="45E0212C"/>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28B4A15"/>
    <w:multiLevelType w:val="multilevel"/>
    <w:tmpl w:val="06B0091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32B92BA5"/>
    <w:multiLevelType w:val="hybridMultilevel"/>
    <w:tmpl w:val="3F3A1B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66E599E"/>
    <w:multiLevelType w:val="multilevel"/>
    <w:tmpl w:val="08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37E20611"/>
    <w:multiLevelType w:val="hybridMultilevel"/>
    <w:tmpl w:val="DF80AE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909475E"/>
    <w:multiLevelType w:val="multilevel"/>
    <w:tmpl w:val="3A646C80"/>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3A2E3F5D"/>
    <w:multiLevelType w:val="hybridMultilevel"/>
    <w:tmpl w:val="38C899DA"/>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3B020E87"/>
    <w:multiLevelType w:val="hybridMultilevel"/>
    <w:tmpl w:val="EC7267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B5906D6"/>
    <w:multiLevelType w:val="multilevel"/>
    <w:tmpl w:val="96F23148"/>
    <w:styleLink w:val="CurrentList12"/>
    <w:lvl w:ilvl="0">
      <w:start w:val="1"/>
      <w:numFmt w:val="decimal"/>
      <w:lvlText w:val="%1"/>
      <w:lvlJc w:val="left"/>
      <w:pPr>
        <w:ind w:left="432" w:hanging="432"/>
      </w:pPr>
      <w:rPr>
        <w:rFonts w:hint="default"/>
      </w:rPr>
    </w:lvl>
    <w:lvl w:ilvl="1">
      <w:start w:val="1"/>
      <w:numFmt w:val="decimal"/>
      <w:lvlText w:val="4.%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b/>
        <w:bCs/>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1" w15:restartNumberingAfterBreak="0">
    <w:nsid w:val="40F9622E"/>
    <w:multiLevelType w:val="multilevel"/>
    <w:tmpl w:val="2D846A7A"/>
    <w:styleLink w:val="CurrentList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b/>
        <w:bCs w:val="0"/>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2" w15:restartNumberingAfterBreak="0">
    <w:nsid w:val="411E51D0"/>
    <w:multiLevelType w:val="hybridMultilevel"/>
    <w:tmpl w:val="A5F29D6C"/>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430D032E"/>
    <w:multiLevelType w:val="multilevel"/>
    <w:tmpl w:val="CD02811A"/>
    <w:lvl w:ilvl="0">
      <w:start w:val="1"/>
      <w:numFmt w:val="upperRoman"/>
      <w:lvlText w:val="%1."/>
      <w:lvlJc w:val="right"/>
      <w:pPr>
        <w:ind w:left="720" w:hanging="360"/>
      </w:pPr>
    </w:lvl>
    <w:lvl w:ilvl="1">
      <w:start w:val="5"/>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4" w15:restartNumberingAfterBreak="0">
    <w:nsid w:val="44B92E3B"/>
    <w:multiLevelType w:val="hybridMultilevel"/>
    <w:tmpl w:val="975C0AC4"/>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44BE74F5"/>
    <w:multiLevelType w:val="multilevel"/>
    <w:tmpl w:val="5612637A"/>
    <w:lvl w:ilvl="0">
      <w:start w:val="3"/>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6" w15:restartNumberingAfterBreak="0">
    <w:nsid w:val="494933A3"/>
    <w:multiLevelType w:val="multilevel"/>
    <w:tmpl w:val="2D846A7A"/>
    <w:styleLink w:val="CurrentList7"/>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b/>
        <w:bCs w:val="0"/>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7" w15:restartNumberingAfterBreak="0">
    <w:nsid w:val="4BB93DE0"/>
    <w:multiLevelType w:val="hybridMultilevel"/>
    <w:tmpl w:val="12640360"/>
    <w:lvl w:ilvl="0" w:tplc="9990C032">
      <w:start w:val="1"/>
      <w:numFmt w:val="upperRoman"/>
      <w:lvlText w:val="%1."/>
      <w:lvlJc w:val="right"/>
      <w:pPr>
        <w:ind w:left="720" w:hanging="360"/>
      </w:pPr>
      <w:rPr>
        <w:b w:val="0"/>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503D0926"/>
    <w:multiLevelType w:val="hybridMultilevel"/>
    <w:tmpl w:val="601A1B86"/>
    <w:lvl w:ilvl="0" w:tplc="0809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54BF5B97"/>
    <w:multiLevelType w:val="multilevel"/>
    <w:tmpl w:val="E8B034C4"/>
    <w:styleLink w:val="CurrentList13"/>
    <w:lvl w:ilvl="0">
      <w:start w:val="1"/>
      <w:numFmt w:val="decimal"/>
      <w:lvlText w:val="%1"/>
      <w:lvlJc w:val="left"/>
      <w:pPr>
        <w:ind w:left="432" w:hanging="432"/>
      </w:pPr>
      <w:rPr>
        <w:rFonts w:hint="default"/>
      </w:rPr>
    </w:lvl>
    <w:lvl w:ilvl="1">
      <w:start w:val="1"/>
      <w:numFmt w:val="decimal"/>
      <w:lvlText w:val="4.%2"/>
      <w:lvlJc w:val="left"/>
      <w:pPr>
        <w:ind w:left="576" w:hanging="576"/>
      </w:pPr>
      <w:rPr>
        <w:rFonts w:hint="default"/>
      </w:rPr>
    </w:lvl>
    <w:lvl w:ilvl="2">
      <w:start w:val="1"/>
      <w:numFmt w:val="decimal"/>
      <w:lvlText w:val="4.2.%3"/>
      <w:lvlJc w:val="left"/>
      <w:pPr>
        <w:ind w:left="720" w:hanging="720"/>
      </w:pPr>
      <w:rPr>
        <w:rFonts w:hint="default"/>
      </w:rPr>
    </w:lvl>
    <w:lvl w:ilvl="3">
      <w:start w:val="1"/>
      <w:numFmt w:val="decimal"/>
      <w:lvlText w:val="%1.%2.%3.%4"/>
      <w:lvlJc w:val="left"/>
      <w:pPr>
        <w:ind w:left="864" w:hanging="864"/>
      </w:pPr>
      <w:rPr>
        <w:rFonts w:hint="default"/>
        <w:b/>
        <w:bCs/>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0" w15:restartNumberingAfterBreak="0">
    <w:nsid w:val="5CFB50F9"/>
    <w:multiLevelType w:val="multilevel"/>
    <w:tmpl w:val="AB1E2C72"/>
    <w:styleLink w:val="CurrentList5"/>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b/>
        <w:bCs w:val="0"/>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1" w15:restartNumberingAfterBreak="0">
    <w:nsid w:val="5D3B7B74"/>
    <w:multiLevelType w:val="multilevel"/>
    <w:tmpl w:val="DAD0EC3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2" w15:restartNumberingAfterBreak="0">
    <w:nsid w:val="5EA930DB"/>
    <w:multiLevelType w:val="multilevel"/>
    <w:tmpl w:val="0809001D"/>
    <w:styleLink w:val="Current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3" w15:restartNumberingAfterBreak="0">
    <w:nsid w:val="5FF048D0"/>
    <w:multiLevelType w:val="multilevel"/>
    <w:tmpl w:val="05FCF206"/>
    <w:styleLink w:val="CurrentList9"/>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b/>
        <w:bCs w:val="0"/>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4" w15:restartNumberingAfterBreak="0">
    <w:nsid w:val="621A3B92"/>
    <w:multiLevelType w:val="multilevel"/>
    <w:tmpl w:val="21C251E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5" w15:restartNumberingAfterBreak="0">
    <w:nsid w:val="624A6A4D"/>
    <w:multiLevelType w:val="hybridMultilevel"/>
    <w:tmpl w:val="79900B2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68BA7AAD"/>
    <w:multiLevelType w:val="multilevel"/>
    <w:tmpl w:val="319CA6E2"/>
    <w:lvl w:ilvl="0">
      <w:start w:val="3"/>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7" w15:restartNumberingAfterBreak="0">
    <w:nsid w:val="6E6F73A4"/>
    <w:multiLevelType w:val="hybridMultilevel"/>
    <w:tmpl w:val="EE34D04E"/>
    <w:lvl w:ilvl="0" w:tplc="0809001B">
      <w:start w:val="1"/>
      <w:numFmt w:val="lowerRoman"/>
      <w:lvlText w:val="%1."/>
      <w:lvlJc w:val="right"/>
      <w:pPr>
        <w:ind w:left="72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6ED47A81"/>
    <w:multiLevelType w:val="hybridMultilevel"/>
    <w:tmpl w:val="6E4027B6"/>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15:restartNumberingAfterBreak="0">
    <w:nsid w:val="700A6F8D"/>
    <w:multiLevelType w:val="hybridMultilevel"/>
    <w:tmpl w:val="555C2EB4"/>
    <w:lvl w:ilvl="0" w:tplc="FFFFFFFF">
      <w:start w:val="1"/>
      <w:numFmt w:val="upperRoman"/>
      <w:lvlText w:val="%1."/>
      <w:lvlJc w:val="right"/>
      <w:pPr>
        <w:ind w:left="720" w:hanging="360"/>
      </w:pPr>
      <w:rPr>
        <w:b w:val="0"/>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786875A6"/>
    <w:multiLevelType w:val="multilevel"/>
    <w:tmpl w:val="D0840CE4"/>
    <w:lvl w:ilvl="0">
      <w:start w:val="1"/>
      <w:numFmt w:val="upperRoman"/>
      <w:lvlText w:val="%1."/>
      <w:lvlJc w:val="right"/>
      <w:pPr>
        <w:ind w:left="783" w:hanging="360"/>
      </w:pPr>
    </w:lvl>
    <w:lvl w:ilvl="1">
      <w:start w:val="5"/>
      <w:numFmt w:val="decimal"/>
      <w:isLgl/>
      <w:lvlText w:val="%1.%2"/>
      <w:lvlJc w:val="left"/>
      <w:pPr>
        <w:ind w:left="903" w:hanging="480"/>
      </w:pPr>
      <w:rPr>
        <w:rFonts w:hint="default"/>
      </w:rPr>
    </w:lvl>
    <w:lvl w:ilvl="2">
      <w:start w:val="2"/>
      <w:numFmt w:val="decimal"/>
      <w:isLgl/>
      <w:lvlText w:val="%1.%2.%3"/>
      <w:lvlJc w:val="left"/>
      <w:pPr>
        <w:ind w:left="1143" w:hanging="720"/>
      </w:pPr>
      <w:rPr>
        <w:rFonts w:hint="default"/>
      </w:rPr>
    </w:lvl>
    <w:lvl w:ilvl="3">
      <w:start w:val="1"/>
      <w:numFmt w:val="decimal"/>
      <w:isLgl/>
      <w:lvlText w:val="%1.%2.%3.%4"/>
      <w:lvlJc w:val="left"/>
      <w:pPr>
        <w:ind w:left="1143" w:hanging="720"/>
      </w:pPr>
      <w:rPr>
        <w:rFonts w:hint="default"/>
      </w:rPr>
    </w:lvl>
    <w:lvl w:ilvl="4">
      <w:start w:val="1"/>
      <w:numFmt w:val="decimal"/>
      <w:isLgl/>
      <w:lvlText w:val="%1.%2.%3.%4.%5"/>
      <w:lvlJc w:val="left"/>
      <w:pPr>
        <w:ind w:left="1503" w:hanging="1080"/>
      </w:pPr>
      <w:rPr>
        <w:rFonts w:hint="default"/>
      </w:rPr>
    </w:lvl>
    <w:lvl w:ilvl="5">
      <w:start w:val="1"/>
      <w:numFmt w:val="decimal"/>
      <w:isLgl/>
      <w:lvlText w:val="%1.%2.%3.%4.%5.%6"/>
      <w:lvlJc w:val="left"/>
      <w:pPr>
        <w:ind w:left="1503" w:hanging="1080"/>
      </w:pPr>
      <w:rPr>
        <w:rFonts w:hint="default"/>
      </w:rPr>
    </w:lvl>
    <w:lvl w:ilvl="6">
      <w:start w:val="1"/>
      <w:numFmt w:val="decimal"/>
      <w:isLgl/>
      <w:lvlText w:val="%1.%2.%3.%4.%5.%6.%7"/>
      <w:lvlJc w:val="left"/>
      <w:pPr>
        <w:ind w:left="1863" w:hanging="1440"/>
      </w:pPr>
      <w:rPr>
        <w:rFonts w:hint="default"/>
      </w:rPr>
    </w:lvl>
    <w:lvl w:ilvl="7">
      <w:start w:val="1"/>
      <w:numFmt w:val="decimal"/>
      <w:isLgl/>
      <w:lvlText w:val="%1.%2.%3.%4.%5.%6.%7.%8"/>
      <w:lvlJc w:val="left"/>
      <w:pPr>
        <w:ind w:left="1863" w:hanging="1440"/>
      </w:pPr>
      <w:rPr>
        <w:rFonts w:hint="default"/>
      </w:rPr>
    </w:lvl>
    <w:lvl w:ilvl="8">
      <w:start w:val="1"/>
      <w:numFmt w:val="decimal"/>
      <w:isLgl/>
      <w:lvlText w:val="%1.%2.%3.%4.%5.%6.%7.%8.%9"/>
      <w:lvlJc w:val="left"/>
      <w:pPr>
        <w:ind w:left="2223" w:hanging="1800"/>
      </w:pPr>
      <w:rPr>
        <w:rFonts w:hint="default"/>
      </w:rPr>
    </w:lvl>
  </w:abstractNum>
  <w:abstractNum w:abstractNumId="51" w15:restartNumberingAfterBreak="0">
    <w:nsid w:val="7AF85251"/>
    <w:multiLevelType w:val="multilevel"/>
    <w:tmpl w:val="6F9E63FE"/>
    <w:lvl w:ilvl="0">
      <w:start w:val="1"/>
      <w:numFmt w:val="upperRoman"/>
      <w:lvlText w:val="%1."/>
      <w:lvlJc w:val="righ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2" w15:restartNumberingAfterBreak="0">
    <w:nsid w:val="7D2A02F4"/>
    <w:multiLevelType w:val="multilevel"/>
    <w:tmpl w:val="B3BA83AE"/>
    <w:lvl w:ilvl="0">
      <w:start w:val="1"/>
      <w:numFmt w:val="upperRoman"/>
      <w:lvlText w:val="%1."/>
      <w:lvlJc w:val="right"/>
      <w:pPr>
        <w:ind w:left="720" w:hanging="360"/>
      </w:pPr>
      <w:rPr>
        <w:b w:val="0"/>
        <w:bCs/>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4"/>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3" w15:restartNumberingAfterBreak="0">
    <w:nsid w:val="7E5E42FF"/>
    <w:multiLevelType w:val="multilevel"/>
    <w:tmpl w:val="D486A87C"/>
    <w:styleLink w:val="CurrentList2"/>
    <w:lvl w:ilvl="0">
      <w:start w:val="1"/>
      <w:numFmt w:val="decimal"/>
      <w:lvlText w:val="%1.0"/>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4" w15:restartNumberingAfterBreak="0">
    <w:nsid w:val="7EB40282"/>
    <w:multiLevelType w:val="hybridMultilevel"/>
    <w:tmpl w:val="4E3485D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48466340">
    <w:abstractNumId w:val="25"/>
  </w:num>
  <w:num w:numId="2" w16cid:durableId="832918201">
    <w:abstractNumId w:val="1"/>
  </w:num>
  <w:num w:numId="3" w16cid:durableId="1208956520">
    <w:abstractNumId w:val="53"/>
  </w:num>
  <w:num w:numId="4" w16cid:durableId="1866599493">
    <w:abstractNumId w:val="42"/>
  </w:num>
  <w:num w:numId="5" w16cid:durableId="784814704">
    <w:abstractNumId w:val="5"/>
  </w:num>
  <w:num w:numId="6" w16cid:durableId="1443265008">
    <w:abstractNumId w:val="40"/>
  </w:num>
  <w:num w:numId="7" w16cid:durableId="841554902">
    <w:abstractNumId w:val="38"/>
  </w:num>
  <w:num w:numId="8" w16cid:durableId="2126534953">
    <w:abstractNumId w:val="32"/>
  </w:num>
  <w:num w:numId="9" w16cid:durableId="568462036">
    <w:abstractNumId w:val="21"/>
  </w:num>
  <w:num w:numId="10" w16cid:durableId="1457873997">
    <w:abstractNumId w:val="31"/>
  </w:num>
  <w:num w:numId="11" w16cid:durableId="211118239">
    <w:abstractNumId w:val="36"/>
  </w:num>
  <w:num w:numId="12" w16cid:durableId="249197875">
    <w:abstractNumId w:val="17"/>
  </w:num>
  <w:num w:numId="13" w16cid:durableId="2006089443">
    <w:abstractNumId w:val="43"/>
  </w:num>
  <w:num w:numId="14" w16cid:durableId="1636065148">
    <w:abstractNumId w:val="3"/>
  </w:num>
  <w:num w:numId="15" w16cid:durableId="840631320">
    <w:abstractNumId w:val="28"/>
  </w:num>
  <w:num w:numId="16" w16cid:durableId="1471440137">
    <w:abstractNumId w:val="13"/>
  </w:num>
  <w:num w:numId="17" w16cid:durableId="1427848381">
    <w:abstractNumId w:val="9"/>
  </w:num>
  <w:num w:numId="18" w16cid:durableId="1323005850">
    <w:abstractNumId w:val="49"/>
  </w:num>
  <w:num w:numId="19" w16cid:durableId="2121602060">
    <w:abstractNumId w:val="37"/>
  </w:num>
  <w:num w:numId="20" w16cid:durableId="1099065514">
    <w:abstractNumId w:val="11"/>
  </w:num>
  <w:num w:numId="21" w16cid:durableId="1041629276">
    <w:abstractNumId w:val="52"/>
  </w:num>
  <w:num w:numId="22" w16cid:durableId="697005567">
    <w:abstractNumId w:val="0"/>
  </w:num>
  <w:num w:numId="23" w16cid:durableId="678235074">
    <w:abstractNumId w:val="4"/>
  </w:num>
  <w:num w:numId="24" w16cid:durableId="30813390">
    <w:abstractNumId w:val="47"/>
  </w:num>
  <w:num w:numId="25" w16cid:durableId="389573964">
    <w:abstractNumId w:val="10"/>
  </w:num>
  <w:num w:numId="26" w16cid:durableId="352151120">
    <w:abstractNumId w:val="50"/>
  </w:num>
  <w:num w:numId="27" w16cid:durableId="1674139110">
    <w:abstractNumId w:val="51"/>
  </w:num>
  <w:num w:numId="28" w16cid:durableId="1594388939">
    <w:abstractNumId w:val="34"/>
  </w:num>
  <w:num w:numId="29" w16cid:durableId="96874408">
    <w:abstractNumId w:val="18"/>
  </w:num>
  <w:num w:numId="30" w16cid:durableId="1729571828">
    <w:abstractNumId w:val="27"/>
  </w:num>
  <w:num w:numId="31" w16cid:durableId="207648619">
    <w:abstractNumId w:val="41"/>
  </w:num>
  <w:num w:numId="32" w16cid:durableId="1339038627">
    <w:abstractNumId w:val="20"/>
  </w:num>
  <w:num w:numId="33" w16cid:durableId="1342972606">
    <w:abstractNumId w:val="15"/>
  </w:num>
  <w:num w:numId="34" w16cid:durableId="1657805220">
    <w:abstractNumId w:val="30"/>
  </w:num>
  <w:num w:numId="35" w16cid:durableId="55928930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317808406">
    <w:abstractNumId w:val="39"/>
  </w:num>
  <w:num w:numId="37" w16cid:durableId="7196930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996252378">
    <w:abstractNumId w:val="44"/>
  </w:num>
  <w:num w:numId="39" w16cid:durableId="845095039">
    <w:abstractNumId w:val="54"/>
  </w:num>
  <w:num w:numId="40" w16cid:durableId="158355391">
    <w:abstractNumId w:val="45"/>
  </w:num>
  <w:num w:numId="41" w16cid:durableId="2014334571">
    <w:abstractNumId w:val="33"/>
  </w:num>
  <w:num w:numId="42" w16cid:durableId="391662516">
    <w:abstractNumId w:val="8"/>
  </w:num>
  <w:num w:numId="43" w16cid:durableId="1815831759">
    <w:abstractNumId w:val="22"/>
  </w:num>
  <w:num w:numId="44" w16cid:durableId="1766876898">
    <w:abstractNumId w:val="46"/>
  </w:num>
  <w:num w:numId="45" w16cid:durableId="945189272">
    <w:abstractNumId w:val="2"/>
  </w:num>
  <w:num w:numId="46" w16cid:durableId="2042390868">
    <w:abstractNumId w:val="6"/>
  </w:num>
  <w:num w:numId="47" w16cid:durableId="1081487307">
    <w:abstractNumId w:val="12"/>
  </w:num>
  <w:num w:numId="48" w16cid:durableId="1836072677">
    <w:abstractNumId w:val="48"/>
  </w:num>
  <w:num w:numId="49" w16cid:durableId="79761692">
    <w:abstractNumId w:val="16"/>
  </w:num>
  <w:num w:numId="50" w16cid:durableId="1278293334">
    <w:abstractNumId w:val="23"/>
  </w:num>
  <w:num w:numId="51" w16cid:durableId="1411386237">
    <w:abstractNumId w:val="7"/>
  </w:num>
  <w:num w:numId="52" w16cid:durableId="1271208425">
    <w:abstractNumId w:val="35"/>
  </w:num>
  <w:num w:numId="53" w16cid:durableId="1096290577">
    <w:abstractNumId w:val="14"/>
  </w:num>
  <w:num w:numId="54" w16cid:durableId="1530025585">
    <w:abstractNumId w:val="19"/>
  </w:num>
  <w:num w:numId="55" w16cid:durableId="1754888274">
    <w:abstractNumId w:val="29"/>
  </w:num>
  <w:num w:numId="56" w16cid:durableId="401146177">
    <w:abstractNumId w:val="26"/>
  </w:num>
  <w:num w:numId="57" w16cid:durableId="1017853432">
    <w:abstractNumId w:val="24"/>
  </w:num>
  <w:numIdMacAtCleanup w:val="49"/>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4AD"/>
    <w:rsid w:val="00005578"/>
    <w:rsid w:val="000073A9"/>
    <w:rsid w:val="000123D2"/>
    <w:rsid w:val="000124AD"/>
    <w:rsid w:val="00012D4C"/>
    <w:rsid w:val="000142D2"/>
    <w:rsid w:val="00015DCD"/>
    <w:rsid w:val="00016EF9"/>
    <w:rsid w:val="000202B4"/>
    <w:rsid w:val="0002492C"/>
    <w:rsid w:val="00024D40"/>
    <w:rsid w:val="00031D64"/>
    <w:rsid w:val="00032EB4"/>
    <w:rsid w:val="000417F3"/>
    <w:rsid w:val="000441F5"/>
    <w:rsid w:val="0004689B"/>
    <w:rsid w:val="000504FB"/>
    <w:rsid w:val="00052480"/>
    <w:rsid w:val="000533A1"/>
    <w:rsid w:val="0005358C"/>
    <w:rsid w:val="00053EBE"/>
    <w:rsid w:val="00054FE9"/>
    <w:rsid w:val="00055B78"/>
    <w:rsid w:val="00070A1C"/>
    <w:rsid w:val="00077082"/>
    <w:rsid w:val="000775D3"/>
    <w:rsid w:val="00082B21"/>
    <w:rsid w:val="00083DF5"/>
    <w:rsid w:val="00085BD1"/>
    <w:rsid w:val="00086561"/>
    <w:rsid w:val="000920B4"/>
    <w:rsid w:val="0009692A"/>
    <w:rsid w:val="00097968"/>
    <w:rsid w:val="000A1150"/>
    <w:rsid w:val="000B259B"/>
    <w:rsid w:val="000B2A57"/>
    <w:rsid w:val="000C10B1"/>
    <w:rsid w:val="000C6FAA"/>
    <w:rsid w:val="000D065D"/>
    <w:rsid w:val="000D69E8"/>
    <w:rsid w:val="000E2652"/>
    <w:rsid w:val="000E284F"/>
    <w:rsid w:val="000E566A"/>
    <w:rsid w:val="000E58BF"/>
    <w:rsid w:val="000F11C6"/>
    <w:rsid w:val="000F1BC2"/>
    <w:rsid w:val="000F2013"/>
    <w:rsid w:val="000F3EDC"/>
    <w:rsid w:val="000F4242"/>
    <w:rsid w:val="000F7E2F"/>
    <w:rsid w:val="001075E9"/>
    <w:rsid w:val="0011540A"/>
    <w:rsid w:val="001163C3"/>
    <w:rsid w:val="001220EC"/>
    <w:rsid w:val="001269E8"/>
    <w:rsid w:val="00132607"/>
    <w:rsid w:val="001367BF"/>
    <w:rsid w:val="0014366D"/>
    <w:rsid w:val="00152A55"/>
    <w:rsid w:val="00161258"/>
    <w:rsid w:val="00161362"/>
    <w:rsid w:val="00162720"/>
    <w:rsid w:val="00162FCD"/>
    <w:rsid w:val="00164ABD"/>
    <w:rsid w:val="00165143"/>
    <w:rsid w:val="0016669D"/>
    <w:rsid w:val="00167AD0"/>
    <w:rsid w:val="00175061"/>
    <w:rsid w:val="001750B5"/>
    <w:rsid w:val="001769F7"/>
    <w:rsid w:val="00187666"/>
    <w:rsid w:val="0019455D"/>
    <w:rsid w:val="00197D9C"/>
    <w:rsid w:val="001B082D"/>
    <w:rsid w:val="001B0BA8"/>
    <w:rsid w:val="001B3DC0"/>
    <w:rsid w:val="001B5F41"/>
    <w:rsid w:val="001C1A62"/>
    <w:rsid w:val="001C54F5"/>
    <w:rsid w:val="001C6DE9"/>
    <w:rsid w:val="001C6F29"/>
    <w:rsid w:val="001C6FA0"/>
    <w:rsid w:val="001D3BE2"/>
    <w:rsid w:val="001E0785"/>
    <w:rsid w:val="001E3DDC"/>
    <w:rsid w:val="001E41BA"/>
    <w:rsid w:val="001E56CE"/>
    <w:rsid w:val="001E66E7"/>
    <w:rsid w:val="001E6ED6"/>
    <w:rsid w:val="001F1812"/>
    <w:rsid w:val="001F1E47"/>
    <w:rsid w:val="001F426E"/>
    <w:rsid w:val="00203AE4"/>
    <w:rsid w:val="00204BA7"/>
    <w:rsid w:val="0020588F"/>
    <w:rsid w:val="00205996"/>
    <w:rsid w:val="00207636"/>
    <w:rsid w:val="00210899"/>
    <w:rsid w:val="00213C0D"/>
    <w:rsid w:val="00215F65"/>
    <w:rsid w:val="00221C14"/>
    <w:rsid w:val="00223412"/>
    <w:rsid w:val="002263D6"/>
    <w:rsid w:val="002331A1"/>
    <w:rsid w:val="00236C31"/>
    <w:rsid w:val="00244D89"/>
    <w:rsid w:val="00246D83"/>
    <w:rsid w:val="00247612"/>
    <w:rsid w:val="00250C00"/>
    <w:rsid w:val="00251EEA"/>
    <w:rsid w:val="002540C2"/>
    <w:rsid w:val="00255250"/>
    <w:rsid w:val="00265BD1"/>
    <w:rsid w:val="0027183A"/>
    <w:rsid w:val="00275642"/>
    <w:rsid w:val="00275E77"/>
    <w:rsid w:val="00276EA3"/>
    <w:rsid w:val="00280A42"/>
    <w:rsid w:val="00286936"/>
    <w:rsid w:val="00286C7C"/>
    <w:rsid w:val="00287230"/>
    <w:rsid w:val="00294069"/>
    <w:rsid w:val="00296F9B"/>
    <w:rsid w:val="002A3CDF"/>
    <w:rsid w:val="002A776A"/>
    <w:rsid w:val="002B47BA"/>
    <w:rsid w:val="002C0E5A"/>
    <w:rsid w:val="002C214A"/>
    <w:rsid w:val="002D0854"/>
    <w:rsid w:val="002D12C5"/>
    <w:rsid w:val="002E25AD"/>
    <w:rsid w:val="002E3D92"/>
    <w:rsid w:val="002E6FE5"/>
    <w:rsid w:val="002F3C2B"/>
    <w:rsid w:val="002F71D7"/>
    <w:rsid w:val="00300FA7"/>
    <w:rsid w:val="00304249"/>
    <w:rsid w:val="003053FC"/>
    <w:rsid w:val="00310827"/>
    <w:rsid w:val="00311327"/>
    <w:rsid w:val="00312E9D"/>
    <w:rsid w:val="00314638"/>
    <w:rsid w:val="00316AA1"/>
    <w:rsid w:val="003219B7"/>
    <w:rsid w:val="003226D4"/>
    <w:rsid w:val="0032386C"/>
    <w:rsid w:val="00335D5F"/>
    <w:rsid w:val="00341D1E"/>
    <w:rsid w:val="003559E3"/>
    <w:rsid w:val="00356AC6"/>
    <w:rsid w:val="00361E2A"/>
    <w:rsid w:val="00380D10"/>
    <w:rsid w:val="00381CBC"/>
    <w:rsid w:val="00387634"/>
    <w:rsid w:val="003919BE"/>
    <w:rsid w:val="0039288F"/>
    <w:rsid w:val="00396DBA"/>
    <w:rsid w:val="003A3525"/>
    <w:rsid w:val="003A658E"/>
    <w:rsid w:val="003B50C5"/>
    <w:rsid w:val="003C05D0"/>
    <w:rsid w:val="003C12F0"/>
    <w:rsid w:val="003C3EF1"/>
    <w:rsid w:val="003C51D1"/>
    <w:rsid w:val="003C5B7E"/>
    <w:rsid w:val="003C5D8F"/>
    <w:rsid w:val="003C6FEB"/>
    <w:rsid w:val="003D0C99"/>
    <w:rsid w:val="003D5048"/>
    <w:rsid w:val="003D5F8A"/>
    <w:rsid w:val="003E477D"/>
    <w:rsid w:val="003E5DCF"/>
    <w:rsid w:val="003E7B2F"/>
    <w:rsid w:val="003F019A"/>
    <w:rsid w:val="003F02AA"/>
    <w:rsid w:val="003F27FC"/>
    <w:rsid w:val="003F417D"/>
    <w:rsid w:val="004000CB"/>
    <w:rsid w:val="00401EEB"/>
    <w:rsid w:val="004056A7"/>
    <w:rsid w:val="0041071A"/>
    <w:rsid w:val="00410CB5"/>
    <w:rsid w:val="00411B18"/>
    <w:rsid w:val="004126FB"/>
    <w:rsid w:val="00413609"/>
    <w:rsid w:val="004163BA"/>
    <w:rsid w:val="00416F49"/>
    <w:rsid w:val="0042146D"/>
    <w:rsid w:val="00422E05"/>
    <w:rsid w:val="004236F8"/>
    <w:rsid w:val="00424EA1"/>
    <w:rsid w:val="004362AA"/>
    <w:rsid w:val="004404BA"/>
    <w:rsid w:val="004407A1"/>
    <w:rsid w:val="00440937"/>
    <w:rsid w:val="00450F89"/>
    <w:rsid w:val="00452888"/>
    <w:rsid w:val="0045387B"/>
    <w:rsid w:val="00456115"/>
    <w:rsid w:val="004571CE"/>
    <w:rsid w:val="00457532"/>
    <w:rsid w:val="00466FDA"/>
    <w:rsid w:val="004734ED"/>
    <w:rsid w:val="0047420E"/>
    <w:rsid w:val="00475340"/>
    <w:rsid w:val="00480BF3"/>
    <w:rsid w:val="00484963"/>
    <w:rsid w:val="00484D6A"/>
    <w:rsid w:val="00492261"/>
    <w:rsid w:val="004A33D2"/>
    <w:rsid w:val="004A55FC"/>
    <w:rsid w:val="004B042C"/>
    <w:rsid w:val="004B37CE"/>
    <w:rsid w:val="004B5E91"/>
    <w:rsid w:val="004C180F"/>
    <w:rsid w:val="004C2AA3"/>
    <w:rsid w:val="004C436C"/>
    <w:rsid w:val="004D1074"/>
    <w:rsid w:val="004D12C4"/>
    <w:rsid w:val="004D1E49"/>
    <w:rsid w:val="004D750E"/>
    <w:rsid w:val="004E257C"/>
    <w:rsid w:val="004E2E10"/>
    <w:rsid w:val="004E44FF"/>
    <w:rsid w:val="004E5CF5"/>
    <w:rsid w:val="004F33FE"/>
    <w:rsid w:val="004F6786"/>
    <w:rsid w:val="00500C7C"/>
    <w:rsid w:val="00500FCA"/>
    <w:rsid w:val="00502CB0"/>
    <w:rsid w:val="00503A4C"/>
    <w:rsid w:val="00504E39"/>
    <w:rsid w:val="00510DE8"/>
    <w:rsid w:val="005271E9"/>
    <w:rsid w:val="00530C4B"/>
    <w:rsid w:val="00537342"/>
    <w:rsid w:val="005379CC"/>
    <w:rsid w:val="0054072C"/>
    <w:rsid w:val="00547563"/>
    <w:rsid w:val="00555AF9"/>
    <w:rsid w:val="00557505"/>
    <w:rsid w:val="0056046F"/>
    <w:rsid w:val="00560E0F"/>
    <w:rsid w:val="005617A4"/>
    <w:rsid w:val="0056772B"/>
    <w:rsid w:val="00571E2B"/>
    <w:rsid w:val="00571FA2"/>
    <w:rsid w:val="00575237"/>
    <w:rsid w:val="00581F9E"/>
    <w:rsid w:val="005826FB"/>
    <w:rsid w:val="0058511A"/>
    <w:rsid w:val="00585DB4"/>
    <w:rsid w:val="005862AB"/>
    <w:rsid w:val="005A1E66"/>
    <w:rsid w:val="005A1F8F"/>
    <w:rsid w:val="005A6AC6"/>
    <w:rsid w:val="005A79FF"/>
    <w:rsid w:val="005A7E9E"/>
    <w:rsid w:val="005B014B"/>
    <w:rsid w:val="005B3BE3"/>
    <w:rsid w:val="005B77DA"/>
    <w:rsid w:val="005C06B9"/>
    <w:rsid w:val="005C2734"/>
    <w:rsid w:val="005C3B56"/>
    <w:rsid w:val="005C6DF3"/>
    <w:rsid w:val="005D29FF"/>
    <w:rsid w:val="005D57F5"/>
    <w:rsid w:val="005D74B6"/>
    <w:rsid w:val="005D787B"/>
    <w:rsid w:val="005E6689"/>
    <w:rsid w:val="005E6E15"/>
    <w:rsid w:val="005F02FF"/>
    <w:rsid w:val="005F04C7"/>
    <w:rsid w:val="005F5200"/>
    <w:rsid w:val="005F7BC4"/>
    <w:rsid w:val="006011A2"/>
    <w:rsid w:val="00601EBB"/>
    <w:rsid w:val="00602321"/>
    <w:rsid w:val="00602650"/>
    <w:rsid w:val="00604361"/>
    <w:rsid w:val="00616968"/>
    <w:rsid w:val="00616A80"/>
    <w:rsid w:val="006240D4"/>
    <w:rsid w:val="006264B2"/>
    <w:rsid w:val="00633A43"/>
    <w:rsid w:val="00636302"/>
    <w:rsid w:val="00637796"/>
    <w:rsid w:val="0064095C"/>
    <w:rsid w:val="00641CC4"/>
    <w:rsid w:val="0064337A"/>
    <w:rsid w:val="006441E8"/>
    <w:rsid w:val="00653F82"/>
    <w:rsid w:val="0065609F"/>
    <w:rsid w:val="0066025E"/>
    <w:rsid w:val="00664B3A"/>
    <w:rsid w:val="0066586B"/>
    <w:rsid w:val="00666758"/>
    <w:rsid w:val="0067138C"/>
    <w:rsid w:val="00675B10"/>
    <w:rsid w:val="00675E62"/>
    <w:rsid w:val="00677924"/>
    <w:rsid w:val="0068051E"/>
    <w:rsid w:val="0068689D"/>
    <w:rsid w:val="006931A4"/>
    <w:rsid w:val="006A57C6"/>
    <w:rsid w:val="006B423F"/>
    <w:rsid w:val="006B71B6"/>
    <w:rsid w:val="006C63FB"/>
    <w:rsid w:val="006D2550"/>
    <w:rsid w:val="006D3B00"/>
    <w:rsid w:val="006D62AD"/>
    <w:rsid w:val="006E2291"/>
    <w:rsid w:val="006E3497"/>
    <w:rsid w:val="006E3C65"/>
    <w:rsid w:val="006E5388"/>
    <w:rsid w:val="006F31B3"/>
    <w:rsid w:val="006F3796"/>
    <w:rsid w:val="00700187"/>
    <w:rsid w:val="00704F1B"/>
    <w:rsid w:val="00705887"/>
    <w:rsid w:val="007113DE"/>
    <w:rsid w:val="007128AD"/>
    <w:rsid w:val="00714701"/>
    <w:rsid w:val="00716C99"/>
    <w:rsid w:val="00721AB8"/>
    <w:rsid w:val="007227A9"/>
    <w:rsid w:val="00722F77"/>
    <w:rsid w:val="00732BB0"/>
    <w:rsid w:val="007379E1"/>
    <w:rsid w:val="007425B1"/>
    <w:rsid w:val="00744ED0"/>
    <w:rsid w:val="00745888"/>
    <w:rsid w:val="00747F9E"/>
    <w:rsid w:val="00750792"/>
    <w:rsid w:val="007554F4"/>
    <w:rsid w:val="00762947"/>
    <w:rsid w:val="00772D25"/>
    <w:rsid w:val="0077601D"/>
    <w:rsid w:val="00776651"/>
    <w:rsid w:val="007768DC"/>
    <w:rsid w:val="00777498"/>
    <w:rsid w:val="0077755B"/>
    <w:rsid w:val="00777C8E"/>
    <w:rsid w:val="0078002A"/>
    <w:rsid w:val="00781A47"/>
    <w:rsid w:val="00784EC9"/>
    <w:rsid w:val="00787FC2"/>
    <w:rsid w:val="007900D7"/>
    <w:rsid w:val="00791EBF"/>
    <w:rsid w:val="00792ADA"/>
    <w:rsid w:val="00795F35"/>
    <w:rsid w:val="00795F6A"/>
    <w:rsid w:val="007A1036"/>
    <w:rsid w:val="007A5C18"/>
    <w:rsid w:val="007A68DF"/>
    <w:rsid w:val="007B4019"/>
    <w:rsid w:val="007B4C17"/>
    <w:rsid w:val="007B7155"/>
    <w:rsid w:val="007C05FE"/>
    <w:rsid w:val="007C0913"/>
    <w:rsid w:val="007C3CE4"/>
    <w:rsid w:val="007C4202"/>
    <w:rsid w:val="007C54C8"/>
    <w:rsid w:val="007D777A"/>
    <w:rsid w:val="007D7DED"/>
    <w:rsid w:val="007E4784"/>
    <w:rsid w:val="007E58CA"/>
    <w:rsid w:val="0080370F"/>
    <w:rsid w:val="008052FC"/>
    <w:rsid w:val="00807402"/>
    <w:rsid w:val="008130A4"/>
    <w:rsid w:val="008158E2"/>
    <w:rsid w:val="0082027E"/>
    <w:rsid w:val="008204D0"/>
    <w:rsid w:val="0082087B"/>
    <w:rsid w:val="00820C4B"/>
    <w:rsid w:val="00822C08"/>
    <w:rsid w:val="00823839"/>
    <w:rsid w:val="008253E7"/>
    <w:rsid w:val="00826ED6"/>
    <w:rsid w:val="00832363"/>
    <w:rsid w:val="008362F3"/>
    <w:rsid w:val="0084085E"/>
    <w:rsid w:val="008424E3"/>
    <w:rsid w:val="00851C44"/>
    <w:rsid w:val="00852B9A"/>
    <w:rsid w:val="00853C2D"/>
    <w:rsid w:val="008611B2"/>
    <w:rsid w:val="008666AB"/>
    <w:rsid w:val="00870C8B"/>
    <w:rsid w:val="008815B3"/>
    <w:rsid w:val="00885CA1"/>
    <w:rsid w:val="00885D29"/>
    <w:rsid w:val="00892BDC"/>
    <w:rsid w:val="00894554"/>
    <w:rsid w:val="00896D3D"/>
    <w:rsid w:val="00897E0A"/>
    <w:rsid w:val="008B008A"/>
    <w:rsid w:val="008B01B8"/>
    <w:rsid w:val="008B625F"/>
    <w:rsid w:val="008C0CBA"/>
    <w:rsid w:val="008C0E72"/>
    <w:rsid w:val="008C6191"/>
    <w:rsid w:val="008D0D99"/>
    <w:rsid w:val="008D1A20"/>
    <w:rsid w:val="008E1390"/>
    <w:rsid w:val="008E5BAD"/>
    <w:rsid w:val="008E61A8"/>
    <w:rsid w:val="008F0771"/>
    <w:rsid w:val="008F214F"/>
    <w:rsid w:val="008F4FE1"/>
    <w:rsid w:val="008F5524"/>
    <w:rsid w:val="008F583F"/>
    <w:rsid w:val="008F6576"/>
    <w:rsid w:val="0091372F"/>
    <w:rsid w:val="0092617A"/>
    <w:rsid w:val="00926309"/>
    <w:rsid w:val="00926686"/>
    <w:rsid w:val="00930399"/>
    <w:rsid w:val="009338CD"/>
    <w:rsid w:val="00936438"/>
    <w:rsid w:val="00937EDA"/>
    <w:rsid w:val="00941194"/>
    <w:rsid w:val="00941A7A"/>
    <w:rsid w:val="00942636"/>
    <w:rsid w:val="009429B2"/>
    <w:rsid w:val="0095221C"/>
    <w:rsid w:val="009524A8"/>
    <w:rsid w:val="00956B54"/>
    <w:rsid w:val="0096742D"/>
    <w:rsid w:val="00967B5B"/>
    <w:rsid w:val="00970238"/>
    <w:rsid w:val="00971D8C"/>
    <w:rsid w:val="0098230C"/>
    <w:rsid w:val="00984499"/>
    <w:rsid w:val="00986F20"/>
    <w:rsid w:val="00987AE1"/>
    <w:rsid w:val="0099137A"/>
    <w:rsid w:val="00995D70"/>
    <w:rsid w:val="009968F8"/>
    <w:rsid w:val="009A2E52"/>
    <w:rsid w:val="009B0323"/>
    <w:rsid w:val="009B38AB"/>
    <w:rsid w:val="009B4057"/>
    <w:rsid w:val="009B4582"/>
    <w:rsid w:val="009B4B5F"/>
    <w:rsid w:val="009B5A16"/>
    <w:rsid w:val="009C6AFB"/>
    <w:rsid w:val="009E4C48"/>
    <w:rsid w:val="009E6130"/>
    <w:rsid w:val="009E6E40"/>
    <w:rsid w:val="009E7D70"/>
    <w:rsid w:val="009F082B"/>
    <w:rsid w:val="009F40DA"/>
    <w:rsid w:val="009F4FB3"/>
    <w:rsid w:val="009F52BE"/>
    <w:rsid w:val="00A02E0D"/>
    <w:rsid w:val="00A07AD8"/>
    <w:rsid w:val="00A07EB1"/>
    <w:rsid w:val="00A1554D"/>
    <w:rsid w:val="00A24186"/>
    <w:rsid w:val="00A34032"/>
    <w:rsid w:val="00A34933"/>
    <w:rsid w:val="00A36B36"/>
    <w:rsid w:val="00A37003"/>
    <w:rsid w:val="00A37198"/>
    <w:rsid w:val="00A54D4C"/>
    <w:rsid w:val="00A554C8"/>
    <w:rsid w:val="00A55D3E"/>
    <w:rsid w:val="00A5764C"/>
    <w:rsid w:val="00A57F91"/>
    <w:rsid w:val="00A61ADE"/>
    <w:rsid w:val="00A63F2E"/>
    <w:rsid w:val="00A65D74"/>
    <w:rsid w:val="00A81920"/>
    <w:rsid w:val="00A820BD"/>
    <w:rsid w:val="00A86C80"/>
    <w:rsid w:val="00A9286A"/>
    <w:rsid w:val="00A92A00"/>
    <w:rsid w:val="00A97931"/>
    <w:rsid w:val="00AA11A5"/>
    <w:rsid w:val="00AB1984"/>
    <w:rsid w:val="00AB4FA8"/>
    <w:rsid w:val="00AB6B90"/>
    <w:rsid w:val="00AC025B"/>
    <w:rsid w:val="00AC1F44"/>
    <w:rsid w:val="00AC2E43"/>
    <w:rsid w:val="00AC5B21"/>
    <w:rsid w:val="00AC5CFB"/>
    <w:rsid w:val="00AD086F"/>
    <w:rsid w:val="00AD1721"/>
    <w:rsid w:val="00AD20B7"/>
    <w:rsid w:val="00AD7201"/>
    <w:rsid w:val="00AE6559"/>
    <w:rsid w:val="00AF278E"/>
    <w:rsid w:val="00AF5D06"/>
    <w:rsid w:val="00B0070D"/>
    <w:rsid w:val="00B01433"/>
    <w:rsid w:val="00B028DD"/>
    <w:rsid w:val="00B05D74"/>
    <w:rsid w:val="00B06116"/>
    <w:rsid w:val="00B10B35"/>
    <w:rsid w:val="00B11F7C"/>
    <w:rsid w:val="00B1322D"/>
    <w:rsid w:val="00B13C05"/>
    <w:rsid w:val="00B312B1"/>
    <w:rsid w:val="00B350A9"/>
    <w:rsid w:val="00B37F70"/>
    <w:rsid w:val="00B40D56"/>
    <w:rsid w:val="00B43AF8"/>
    <w:rsid w:val="00B46B55"/>
    <w:rsid w:val="00B622C2"/>
    <w:rsid w:val="00B65156"/>
    <w:rsid w:val="00B677A2"/>
    <w:rsid w:val="00B77ABF"/>
    <w:rsid w:val="00B84658"/>
    <w:rsid w:val="00B87F91"/>
    <w:rsid w:val="00B94E32"/>
    <w:rsid w:val="00BA0400"/>
    <w:rsid w:val="00BA631C"/>
    <w:rsid w:val="00BB2D2F"/>
    <w:rsid w:val="00BB322A"/>
    <w:rsid w:val="00BC1DE8"/>
    <w:rsid w:val="00BD068D"/>
    <w:rsid w:val="00BD0797"/>
    <w:rsid w:val="00BD3BDC"/>
    <w:rsid w:val="00BD423F"/>
    <w:rsid w:val="00BE2327"/>
    <w:rsid w:val="00BE5932"/>
    <w:rsid w:val="00BF16F9"/>
    <w:rsid w:val="00BF5125"/>
    <w:rsid w:val="00BF57DA"/>
    <w:rsid w:val="00C03816"/>
    <w:rsid w:val="00C0437B"/>
    <w:rsid w:val="00C15675"/>
    <w:rsid w:val="00C20354"/>
    <w:rsid w:val="00C21765"/>
    <w:rsid w:val="00C25721"/>
    <w:rsid w:val="00C258C7"/>
    <w:rsid w:val="00C309F4"/>
    <w:rsid w:val="00C32611"/>
    <w:rsid w:val="00C35B75"/>
    <w:rsid w:val="00C402FD"/>
    <w:rsid w:val="00C406AF"/>
    <w:rsid w:val="00C41615"/>
    <w:rsid w:val="00C46130"/>
    <w:rsid w:val="00C5097C"/>
    <w:rsid w:val="00C51198"/>
    <w:rsid w:val="00C536AC"/>
    <w:rsid w:val="00C55218"/>
    <w:rsid w:val="00C570B8"/>
    <w:rsid w:val="00C5795E"/>
    <w:rsid w:val="00C611FC"/>
    <w:rsid w:val="00C61BF3"/>
    <w:rsid w:val="00C626D0"/>
    <w:rsid w:val="00C6443B"/>
    <w:rsid w:val="00C6665F"/>
    <w:rsid w:val="00C673EF"/>
    <w:rsid w:val="00C677A1"/>
    <w:rsid w:val="00C70735"/>
    <w:rsid w:val="00C71BD9"/>
    <w:rsid w:val="00C75DD5"/>
    <w:rsid w:val="00C77DBD"/>
    <w:rsid w:val="00CA12FC"/>
    <w:rsid w:val="00CA50D6"/>
    <w:rsid w:val="00CA5124"/>
    <w:rsid w:val="00CA73DA"/>
    <w:rsid w:val="00CB4F77"/>
    <w:rsid w:val="00CB5527"/>
    <w:rsid w:val="00CB7FD7"/>
    <w:rsid w:val="00CC38F7"/>
    <w:rsid w:val="00CC433E"/>
    <w:rsid w:val="00CC438A"/>
    <w:rsid w:val="00CC6E61"/>
    <w:rsid w:val="00CD5DEF"/>
    <w:rsid w:val="00CD625B"/>
    <w:rsid w:val="00CD6B43"/>
    <w:rsid w:val="00CE1CBB"/>
    <w:rsid w:val="00CE2B72"/>
    <w:rsid w:val="00CE31DC"/>
    <w:rsid w:val="00CE4032"/>
    <w:rsid w:val="00CE63FF"/>
    <w:rsid w:val="00CE74AE"/>
    <w:rsid w:val="00CF0108"/>
    <w:rsid w:val="00D00E81"/>
    <w:rsid w:val="00D01D7D"/>
    <w:rsid w:val="00D0261D"/>
    <w:rsid w:val="00D02A90"/>
    <w:rsid w:val="00D0774B"/>
    <w:rsid w:val="00D16BFE"/>
    <w:rsid w:val="00D20143"/>
    <w:rsid w:val="00D20C9E"/>
    <w:rsid w:val="00D26E2C"/>
    <w:rsid w:val="00D30ED1"/>
    <w:rsid w:val="00D32258"/>
    <w:rsid w:val="00D3381A"/>
    <w:rsid w:val="00D35BCA"/>
    <w:rsid w:val="00D41F61"/>
    <w:rsid w:val="00D462C9"/>
    <w:rsid w:val="00D5021E"/>
    <w:rsid w:val="00D5027E"/>
    <w:rsid w:val="00D50EC0"/>
    <w:rsid w:val="00D5155B"/>
    <w:rsid w:val="00D52561"/>
    <w:rsid w:val="00D53678"/>
    <w:rsid w:val="00D5709B"/>
    <w:rsid w:val="00D60E40"/>
    <w:rsid w:val="00D6187B"/>
    <w:rsid w:val="00D61ACD"/>
    <w:rsid w:val="00D62401"/>
    <w:rsid w:val="00D659EB"/>
    <w:rsid w:val="00D65CBC"/>
    <w:rsid w:val="00D729C3"/>
    <w:rsid w:val="00D7464B"/>
    <w:rsid w:val="00D7591C"/>
    <w:rsid w:val="00D75EA2"/>
    <w:rsid w:val="00D75F9B"/>
    <w:rsid w:val="00D77754"/>
    <w:rsid w:val="00D83394"/>
    <w:rsid w:val="00D949F8"/>
    <w:rsid w:val="00D959AD"/>
    <w:rsid w:val="00D9709F"/>
    <w:rsid w:val="00D97D32"/>
    <w:rsid w:val="00DA061C"/>
    <w:rsid w:val="00DA2A1F"/>
    <w:rsid w:val="00DA4583"/>
    <w:rsid w:val="00DA51E6"/>
    <w:rsid w:val="00DB0AC7"/>
    <w:rsid w:val="00DB1CA7"/>
    <w:rsid w:val="00DB5463"/>
    <w:rsid w:val="00DC3A7F"/>
    <w:rsid w:val="00DC3CB3"/>
    <w:rsid w:val="00DC402A"/>
    <w:rsid w:val="00DC507B"/>
    <w:rsid w:val="00DC5FE7"/>
    <w:rsid w:val="00DD1128"/>
    <w:rsid w:val="00DD1892"/>
    <w:rsid w:val="00DD3158"/>
    <w:rsid w:val="00DD3AB1"/>
    <w:rsid w:val="00DD4FB9"/>
    <w:rsid w:val="00DD5118"/>
    <w:rsid w:val="00DD5CD6"/>
    <w:rsid w:val="00DD6430"/>
    <w:rsid w:val="00DE0E75"/>
    <w:rsid w:val="00DE3DCA"/>
    <w:rsid w:val="00DE6233"/>
    <w:rsid w:val="00DE68DD"/>
    <w:rsid w:val="00DF1709"/>
    <w:rsid w:val="00E0094C"/>
    <w:rsid w:val="00E012B4"/>
    <w:rsid w:val="00E024B1"/>
    <w:rsid w:val="00E03CEF"/>
    <w:rsid w:val="00E11AEC"/>
    <w:rsid w:val="00E125C9"/>
    <w:rsid w:val="00E2292A"/>
    <w:rsid w:val="00E242CF"/>
    <w:rsid w:val="00E25982"/>
    <w:rsid w:val="00E344AD"/>
    <w:rsid w:val="00E37AFE"/>
    <w:rsid w:val="00E40956"/>
    <w:rsid w:val="00E4508F"/>
    <w:rsid w:val="00E454EC"/>
    <w:rsid w:val="00E53837"/>
    <w:rsid w:val="00E53B1A"/>
    <w:rsid w:val="00E54F58"/>
    <w:rsid w:val="00E56407"/>
    <w:rsid w:val="00E624F0"/>
    <w:rsid w:val="00E632CC"/>
    <w:rsid w:val="00E707EB"/>
    <w:rsid w:val="00E7151B"/>
    <w:rsid w:val="00E7253C"/>
    <w:rsid w:val="00E7724F"/>
    <w:rsid w:val="00E84E08"/>
    <w:rsid w:val="00E85093"/>
    <w:rsid w:val="00E86332"/>
    <w:rsid w:val="00E91CB7"/>
    <w:rsid w:val="00E9378E"/>
    <w:rsid w:val="00EA446B"/>
    <w:rsid w:val="00EA4710"/>
    <w:rsid w:val="00EB121E"/>
    <w:rsid w:val="00EB1323"/>
    <w:rsid w:val="00EB6992"/>
    <w:rsid w:val="00EB7FFB"/>
    <w:rsid w:val="00EC0AE3"/>
    <w:rsid w:val="00EC1AB6"/>
    <w:rsid w:val="00EC33A7"/>
    <w:rsid w:val="00EC5BF9"/>
    <w:rsid w:val="00EC7AC9"/>
    <w:rsid w:val="00ED0200"/>
    <w:rsid w:val="00ED0E3D"/>
    <w:rsid w:val="00ED1037"/>
    <w:rsid w:val="00ED2E36"/>
    <w:rsid w:val="00ED4E91"/>
    <w:rsid w:val="00EE16E1"/>
    <w:rsid w:val="00EE341E"/>
    <w:rsid w:val="00EE492F"/>
    <w:rsid w:val="00EE4940"/>
    <w:rsid w:val="00EE738C"/>
    <w:rsid w:val="00EE7A6A"/>
    <w:rsid w:val="00EF3523"/>
    <w:rsid w:val="00EF5DDB"/>
    <w:rsid w:val="00F016AF"/>
    <w:rsid w:val="00F06505"/>
    <w:rsid w:val="00F129CD"/>
    <w:rsid w:val="00F14A6A"/>
    <w:rsid w:val="00F16ADB"/>
    <w:rsid w:val="00F26A4E"/>
    <w:rsid w:val="00F31BB2"/>
    <w:rsid w:val="00F328F5"/>
    <w:rsid w:val="00F364AD"/>
    <w:rsid w:val="00F36AB4"/>
    <w:rsid w:val="00F41A75"/>
    <w:rsid w:val="00F41ED7"/>
    <w:rsid w:val="00F430D7"/>
    <w:rsid w:val="00F443B2"/>
    <w:rsid w:val="00F55894"/>
    <w:rsid w:val="00F6230F"/>
    <w:rsid w:val="00F623ED"/>
    <w:rsid w:val="00F62AD1"/>
    <w:rsid w:val="00F64215"/>
    <w:rsid w:val="00F67864"/>
    <w:rsid w:val="00F70EE7"/>
    <w:rsid w:val="00F739E6"/>
    <w:rsid w:val="00F73FC1"/>
    <w:rsid w:val="00F8222D"/>
    <w:rsid w:val="00F8236C"/>
    <w:rsid w:val="00F8529E"/>
    <w:rsid w:val="00F85B0B"/>
    <w:rsid w:val="00F85B48"/>
    <w:rsid w:val="00F86902"/>
    <w:rsid w:val="00F9185B"/>
    <w:rsid w:val="00F9193C"/>
    <w:rsid w:val="00FA003F"/>
    <w:rsid w:val="00FA54E6"/>
    <w:rsid w:val="00FA74A4"/>
    <w:rsid w:val="00FB0183"/>
    <w:rsid w:val="00FB26AD"/>
    <w:rsid w:val="00FB288F"/>
    <w:rsid w:val="00FB630F"/>
    <w:rsid w:val="00FB6622"/>
    <w:rsid w:val="00FB777B"/>
    <w:rsid w:val="00FC27C7"/>
    <w:rsid w:val="00FC2983"/>
    <w:rsid w:val="00FC3D1E"/>
    <w:rsid w:val="00FC54EC"/>
    <w:rsid w:val="00FC6059"/>
    <w:rsid w:val="00FC7243"/>
    <w:rsid w:val="00FC7D48"/>
    <w:rsid w:val="00FD0F5D"/>
    <w:rsid w:val="00FD1B07"/>
    <w:rsid w:val="00FD4BE4"/>
    <w:rsid w:val="00FD5484"/>
    <w:rsid w:val="00FE02C2"/>
    <w:rsid w:val="00FE105D"/>
    <w:rsid w:val="00FE4267"/>
    <w:rsid w:val="00FE4299"/>
    <w:rsid w:val="00FE6AF8"/>
    <w:rsid w:val="00FE6D48"/>
    <w:rsid w:val="00FF534D"/>
    <w:rsid w:val="6EF00552"/>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ECD1"/>
  <w15:docId w15:val="{4C06656D-9DC8-8A49-AAA9-302CCC556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lang w:val="en-N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59E3"/>
    <w:pPr>
      <w:spacing w:before="240" w:after="240" w:line="360" w:lineRule="auto"/>
      <w:jc w:val="both"/>
    </w:pPr>
    <w:rPr>
      <w:rFonts w:ascii="Times New Roman" w:eastAsiaTheme="minorHAnsi" w:hAnsi="Times New Roman"/>
      <w:color w:val="000000" w:themeColor="text1"/>
      <w:sz w:val="24"/>
      <w:szCs w:val="24"/>
      <w:lang w:val="en-GB" w:eastAsia="en-US"/>
    </w:rPr>
  </w:style>
  <w:style w:type="paragraph" w:styleId="Heading1">
    <w:name w:val="heading 1"/>
    <w:basedOn w:val="Normal"/>
    <w:next w:val="Normal"/>
    <w:link w:val="Heading1Char"/>
    <w:uiPriority w:val="9"/>
    <w:qFormat/>
    <w:rsid w:val="002D12C5"/>
    <w:pPr>
      <w:keepNext/>
      <w:keepLines/>
      <w:numPr>
        <w:numId w:val="9"/>
      </w:numPr>
      <w:jc w:val="center"/>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2D12C5"/>
    <w:pPr>
      <w:keepNext/>
      <w:keepLines/>
      <w:numPr>
        <w:ilvl w:val="1"/>
        <w:numId w:val="9"/>
      </w:numPr>
      <w:spacing w:before="40"/>
      <w:jc w:val="left"/>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2D12C5"/>
    <w:pPr>
      <w:keepNext/>
      <w:keepLines/>
      <w:numPr>
        <w:ilvl w:val="2"/>
        <w:numId w:val="9"/>
      </w:numPr>
      <w:spacing w:before="120"/>
      <w:jc w:val="left"/>
      <w:outlineLvl w:val="2"/>
    </w:pPr>
    <w:rPr>
      <w:rFonts w:eastAsiaTheme="majorEastAsia" w:cstheme="majorBidi"/>
      <w:b/>
    </w:rPr>
  </w:style>
  <w:style w:type="paragraph" w:styleId="Heading4">
    <w:name w:val="heading 4"/>
    <w:basedOn w:val="Normal"/>
    <w:next w:val="Normal"/>
    <w:link w:val="Heading4Char"/>
    <w:uiPriority w:val="9"/>
    <w:unhideWhenUsed/>
    <w:qFormat/>
    <w:rsid w:val="002D12C5"/>
    <w:pPr>
      <w:keepNext/>
      <w:keepLines/>
      <w:numPr>
        <w:ilvl w:val="3"/>
        <w:numId w:val="9"/>
      </w:numPr>
      <w:spacing w:before="40"/>
      <w:outlineLvl w:val="3"/>
    </w:pPr>
    <w:rPr>
      <w:rFonts w:eastAsiaTheme="majorEastAsia" w:cstheme="majorBidi"/>
      <w:b/>
      <w:iCs/>
    </w:rPr>
  </w:style>
  <w:style w:type="paragraph" w:styleId="Heading5">
    <w:name w:val="heading 5"/>
    <w:basedOn w:val="Normal"/>
    <w:next w:val="Normal"/>
    <w:link w:val="Heading5Char"/>
    <w:uiPriority w:val="9"/>
    <w:unhideWhenUsed/>
    <w:qFormat/>
    <w:rsid w:val="002D12C5"/>
    <w:pPr>
      <w:keepNext/>
      <w:keepLines/>
      <w:numPr>
        <w:ilvl w:val="4"/>
        <w:numId w:val="9"/>
      </w:numPr>
      <w:spacing w:before="40"/>
      <w:jc w:val="left"/>
      <w:outlineLvl w:val="4"/>
    </w:pPr>
    <w:rPr>
      <w:rFonts w:eastAsiaTheme="majorEastAsia" w:cstheme="majorBidi"/>
      <w:b/>
      <w:i/>
    </w:rPr>
  </w:style>
  <w:style w:type="paragraph" w:styleId="Heading6">
    <w:name w:val="heading 6"/>
    <w:basedOn w:val="Normal"/>
    <w:next w:val="Normal"/>
    <w:link w:val="Heading6Char"/>
    <w:uiPriority w:val="9"/>
    <w:unhideWhenUsed/>
    <w:qFormat/>
    <w:rsid w:val="002D12C5"/>
    <w:pPr>
      <w:keepNext/>
      <w:keepLines/>
      <w:numPr>
        <w:ilvl w:val="5"/>
        <w:numId w:val="9"/>
      </w:numPr>
      <w:spacing w:before="40"/>
      <w:outlineLvl w:val="5"/>
    </w:pPr>
    <w:rPr>
      <w:rFonts w:eastAsiaTheme="majorEastAsia" w:cstheme="majorBidi"/>
      <w:b/>
      <w:i/>
      <w:color w:val="1F3864" w:themeColor="accent1" w:themeShade="80"/>
    </w:rPr>
  </w:style>
  <w:style w:type="paragraph" w:styleId="Heading7">
    <w:name w:val="heading 7"/>
    <w:basedOn w:val="Normal"/>
    <w:next w:val="Normal"/>
    <w:link w:val="Heading7Char"/>
    <w:uiPriority w:val="9"/>
    <w:semiHidden/>
    <w:unhideWhenUsed/>
    <w:qFormat/>
    <w:rsid w:val="002D12C5"/>
    <w:pPr>
      <w:keepNext/>
      <w:keepLines/>
      <w:numPr>
        <w:ilvl w:val="6"/>
        <w:numId w:val="9"/>
      </w:numPr>
      <w:spacing w:before="40"/>
      <w:outlineLvl w:val="6"/>
    </w:pPr>
    <w:rPr>
      <w:rFonts w:asciiTheme="majorHAnsi" w:eastAsiaTheme="majorEastAsia" w:hAnsiTheme="majorHAnsi" w:cstheme="majorBidi"/>
      <w:i/>
      <w:iCs/>
      <w:color w:val="1F3864" w:themeColor="accent1" w:themeShade="80"/>
    </w:rPr>
  </w:style>
  <w:style w:type="paragraph" w:styleId="Heading8">
    <w:name w:val="heading 8"/>
    <w:basedOn w:val="Normal"/>
    <w:next w:val="Normal"/>
    <w:link w:val="Heading8Char"/>
    <w:uiPriority w:val="9"/>
    <w:semiHidden/>
    <w:unhideWhenUsed/>
    <w:qFormat/>
    <w:rsid w:val="002D12C5"/>
    <w:pPr>
      <w:keepNext/>
      <w:keepLines/>
      <w:numPr>
        <w:ilvl w:val="7"/>
        <w:numId w:val="9"/>
      </w:numPr>
      <w:spacing w:before="4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rsid w:val="002D12C5"/>
    <w:pPr>
      <w:keepNext/>
      <w:keepLines/>
      <w:numPr>
        <w:ilvl w:val="8"/>
        <w:numId w:val="9"/>
      </w:numPr>
      <w:spacing w:before="4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pPr>
    <w:rPr>
      <w:i/>
      <w:iCs/>
      <w:color w:val="44546A" w:themeColor="text2"/>
      <w:sz w:val="18"/>
      <w:szCs w:val="18"/>
    </w:rPr>
  </w:style>
  <w:style w:type="paragraph" w:styleId="Footer">
    <w:name w:val="footer"/>
    <w:basedOn w:val="Normal"/>
    <w:link w:val="FooterChar"/>
    <w:uiPriority w:val="99"/>
    <w:unhideWhenUsed/>
    <w:pPr>
      <w:tabs>
        <w:tab w:val="center" w:pos="4513"/>
        <w:tab w:val="right" w:pos="9026"/>
      </w:tabs>
      <w:spacing w:after="0"/>
    </w:pPr>
  </w:style>
  <w:style w:type="paragraph" w:styleId="Header">
    <w:name w:val="header"/>
    <w:basedOn w:val="Normal"/>
    <w:link w:val="HeaderChar"/>
    <w:uiPriority w:val="99"/>
    <w:unhideWhenUsed/>
    <w:pPr>
      <w:tabs>
        <w:tab w:val="center" w:pos="4513"/>
        <w:tab w:val="right" w:pos="9026"/>
      </w:tabs>
      <w:spacing w:after="0"/>
    </w:pPr>
  </w:style>
  <w:style w:type="character" w:styleId="Hyperlink">
    <w:name w:val="Hyperlink"/>
    <w:basedOn w:val="DefaultParagraphFont"/>
    <w:uiPriority w:val="99"/>
    <w:unhideWhenUsed/>
    <w:rPr>
      <w:color w:val="0563C1" w:themeColor="hyperlink"/>
      <w:u w:val="single"/>
    </w:rPr>
  </w:style>
  <w:style w:type="character" w:styleId="PageNumber">
    <w:name w:val="page number"/>
    <w:basedOn w:val="DefaultParagraphFont"/>
    <w:uiPriority w:val="99"/>
    <w:semiHidden/>
    <w:unhideWhenUsed/>
  </w:style>
  <w:style w:type="paragraph" w:styleId="TableofFigures">
    <w:name w:val="table of figures"/>
    <w:basedOn w:val="Normal"/>
    <w:next w:val="Normal"/>
    <w:uiPriority w:val="99"/>
    <w:unhideWhenUsed/>
    <w:pPr>
      <w:spacing w:before="0" w:after="0"/>
      <w:ind w:left="480" w:hanging="480"/>
      <w:jc w:val="left"/>
    </w:pPr>
    <w:rPr>
      <w:rFonts w:asciiTheme="minorHAnsi"/>
      <w:b/>
      <w:bCs/>
      <w:sz w:val="20"/>
      <w:szCs w:val="20"/>
    </w:rPr>
  </w:style>
  <w:style w:type="paragraph" w:styleId="TOC1">
    <w:name w:val="toc 1"/>
    <w:basedOn w:val="Normal"/>
    <w:next w:val="Normal"/>
    <w:uiPriority w:val="39"/>
    <w:unhideWhenUsed/>
    <w:pPr>
      <w:spacing w:before="360" w:after="0"/>
      <w:jc w:val="left"/>
    </w:pPr>
    <w:rPr>
      <w:rFonts w:asciiTheme="majorHAnsi" w:eastAsiaTheme="majorHAnsi"/>
      <w:b/>
      <w:bCs/>
      <w:caps/>
    </w:rPr>
  </w:style>
  <w:style w:type="paragraph" w:styleId="TOC2">
    <w:name w:val="toc 2"/>
    <w:basedOn w:val="Normal"/>
    <w:next w:val="Normal"/>
    <w:uiPriority w:val="39"/>
    <w:unhideWhenUsed/>
    <w:pPr>
      <w:spacing w:after="0"/>
      <w:jc w:val="left"/>
    </w:pPr>
    <w:rPr>
      <w:rFonts w:asciiTheme="minorHAnsi"/>
      <w:b/>
      <w:bCs/>
      <w:sz w:val="20"/>
      <w:szCs w:val="20"/>
    </w:rPr>
  </w:style>
  <w:style w:type="paragraph" w:styleId="TOC3">
    <w:name w:val="toc 3"/>
    <w:basedOn w:val="Normal"/>
    <w:next w:val="Normal"/>
    <w:uiPriority w:val="39"/>
    <w:unhideWhenUsed/>
    <w:pPr>
      <w:spacing w:before="0" w:after="0"/>
      <w:ind w:left="240"/>
      <w:jc w:val="left"/>
    </w:pPr>
    <w:rPr>
      <w:rFonts w:asciiTheme="minorHAnsi"/>
      <w:sz w:val="20"/>
      <w:szCs w:val="20"/>
    </w:rPr>
  </w:style>
  <w:style w:type="paragraph" w:styleId="TOC4">
    <w:name w:val="toc 4"/>
    <w:basedOn w:val="Normal"/>
    <w:next w:val="Normal"/>
    <w:uiPriority w:val="39"/>
    <w:unhideWhenUsed/>
    <w:pPr>
      <w:spacing w:before="0" w:after="0"/>
      <w:ind w:left="480"/>
      <w:jc w:val="left"/>
    </w:pPr>
    <w:rPr>
      <w:rFonts w:asciiTheme="minorHAnsi"/>
      <w:sz w:val="20"/>
      <w:szCs w:val="20"/>
    </w:rPr>
  </w:style>
  <w:style w:type="paragraph" w:styleId="TOC5">
    <w:name w:val="toc 5"/>
    <w:basedOn w:val="Normal"/>
    <w:next w:val="Normal"/>
    <w:uiPriority w:val="39"/>
    <w:unhideWhenUsed/>
    <w:pPr>
      <w:spacing w:before="0" w:after="0"/>
      <w:ind w:left="720"/>
      <w:jc w:val="left"/>
    </w:pPr>
    <w:rPr>
      <w:rFonts w:asciiTheme="minorHAnsi"/>
      <w:sz w:val="20"/>
      <w:szCs w:val="20"/>
    </w:rPr>
  </w:style>
  <w:style w:type="paragraph" w:styleId="TOC6">
    <w:name w:val="toc 6"/>
    <w:basedOn w:val="Normal"/>
    <w:next w:val="Normal"/>
    <w:uiPriority w:val="39"/>
    <w:unhideWhenUsed/>
    <w:pPr>
      <w:spacing w:before="0" w:after="0"/>
      <w:ind w:left="960"/>
      <w:jc w:val="left"/>
    </w:pPr>
    <w:rPr>
      <w:rFonts w:asciiTheme="minorHAnsi"/>
      <w:sz w:val="20"/>
      <w:szCs w:val="20"/>
    </w:rPr>
  </w:style>
  <w:style w:type="paragraph" w:styleId="TOC7">
    <w:name w:val="toc 7"/>
    <w:basedOn w:val="Normal"/>
    <w:next w:val="Normal"/>
    <w:uiPriority w:val="39"/>
    <w:unhideWhenUsed/>
    <w:pPr>
      <w:spacing w:before="0" w:after="0"/>
      <w:ind w:left="1200"/>
      <w:jc w:val="left"/>
    </w:pPr>
    <w:rPr>
      <w:rFonts w:asciiTheme="minorHAnsi"/>
      <w:sz w:val="20"/>
      <w:szCs w:val="20"/>
    </w:rPr>
  </w:style>
  <w:style w:type="paragraph" w:styleId="TOC8">
    <w:name w:val="toc 8"/>
    <w:basedOn w:val="Normal"/>
    <w:next w:val="Normal"/>
    <w:uiPriority w:val="39"/>
    <w:unhideWhenUsed/>
    <w:pPr>
      <w:spacing w:before="0" w:after="0"/>
      <w:ind w:left="1440"/>
      <w:jc w:val="left"/>
    </w:pPr>
    <w:rPr>
      <w:rFonts w:asciiTheme="minorHAnsi"/>
      <w:sz w:val="20"/>
      <w:szCs w:val="20"/>
    </w:rPr>
  </w:style>
  <w:style w:type="paragraph" w:styleId="TOC9">
    <w:name w:val="toc 9"/>
    <w:basedOn w:val="Normal"/>
    <w:next w:val="Normal"/>
    <w:uiPriority w:val="39"/>
    <w:unhideWhenUsed/>
    <w:pPr>
      <w:spacing w:before="0" w:after="0"/>
      <w:ind w:left="1680"/>
      <w:jc w:val="left"/>
    </w:pPr>
    <w:rPr>
      <w:rFonts w:asciiTheme="minorHAnsi"/>
      <w:sz w:val="20"/>
      <w:szCs w:val="20"/>
    </w:rPr>
  </w:style>
  <w:style w:type="character" w:customStyle="1" w:styleId="Heading1Char">
    <w:name w:val="Heading 1 Char"/>
    <w:basedOn w:val="DefaultParagraphFont"/>
    <w:link w:val="Heading1"/>
    <w:uiPriority w:val="9"/>
    <w:rsid w:val="000417F3"/>
    <w:rPr>
      <w:rFonts w:ascii="Times New Roman" w:eastAsiaTheme="majorEastAsia" w:hAnsi="Times New Roman" w:cstheme="majorBidi"/>
      <w:b/>
      <w:color w:val="000000" w:themeColor="text1"/>
      <w:sz w:val="32"/>
      <w:szCs w:val="32"/>
      <w:lang w:val="zh-CN" w:eastAsia="en-US"/>
    </w:rPr>
  </w:style>
  <w:style w:type="character" w:customStyle="1" w:styleId="Heading2Char">
    <w:name w:val="Heading 2 Char"/>
    <w:basedOn w:val="DefaultParagraphFont"/>
    <w:link w:val="Heading2"/>
    <w:uiPriority w:val="9"/>
    <w:rsid w:val="00CC433E"/>
    <w:rPr>
      <w:rFonts w:ascii="Times New Roman" w:eastAsiaTheme="majorEastAsia" w:hAnsi="Times New Roman" w:cstheme="majorBidi"/>
      <w:b/>
      <w:color w:val="000000" w:themeColor="text1"/>
      <w:sz w:val="28"/>
      <w:szCs w:val="26"/>
      <w:lang w:val="zh-CN" w:eastAsia="en-US"/>
    </w:rPr>
  </w:style>
  <w:style w:type="paragraph" w:styleId="ListParagraph">
    <w:name w:val="List Paragraph"/>
    <w:basedOn w:val="Normal"/>
    <w:uiPriority w:val="34"/>
    <w:qFormat/>
    <w:pPr>
      <w:ind w:left="720"/>
      <w:contextualSpacing/>
    </w:pPr>
  </w:style>
  <w:style w:type="character" w:customStyle="1" w:styleId="Heading3Char">
    <w:name w:val="Heading 3 Char"/>
    <w:basedOn w:val="DefaultParagraphFont"/>
    <w:link w:val="Heading3"/>
    <w:uiPriority w:val="9"/>
    <w:rsid w:val="00547563"/>
    <w:rPr>
      <w:rFonts w:ascii="Times New Roman" w:eastAsiaTheme="majorEastAsia" w:hAnsi="Times New Roman" w:cstheme="majorBidi"/>
      <w:b/>
      <w:color w:val="000000" w:themeColor="text1"/>
      <w:sz w:val="24"/>
      <w:szCs w:val="24"/>
      <w:lang w:val="zh-CN" w:eastAsia="en-US"/>
    </w:rPr>
  </w:style>
  <w:style w:type="character" w:customStyle="1" w:styleId="Heading4Char">
    <w:name w:val="Heading 4 Char"/>
    <w:basedOn w:val="DefaultParagraphFont"/>
    <w:link w:val="Heading4"/>
    <w:uiPriority w:val="9"/>
    <w:rsid w:val="00FC6059"/>
    <w:rPr>
      <w:rFonts w:ascii="Times New Roman" w:eastAsiaTheme="majorEastAsia" w:hAnsi="Times New Roman" w:cstheme="majorBidi"/>
      <w:b/>
      <w:iCs/>
      <w:color w:val="000000" w:themeColor="text1"/>
      <w:sz w:val="24"/>
      <w:szCs w:val="24"/>
      <w:lang w:val="zh-CN" w:eastAsia="en-US"/>
    </w:rPr>
  </w:style>
  <w:style w:type="character" w:customStyle="1" w:styleId="Heading5Char">
    <w:name w:val="Heading 5 Char"/>
    <w:basedOn w:val="DefaultParagraphFont"/>
    <w:link w:val="Heading5"/>
    <w:uiPriority w:val="9"/>
    <w:rsid w:val="000441F5"/>
    <w:rPr>
      <w:rFonts w:ascii="Times New Roman" w:eastAsiaTheme="majorEastAsia" w:hAnsi="Times New Roman" w:cstheme="majorBidi"/>
      <w:b/>
      <w:i/>
      <w:color w:val="000000" w:themeColor="text1"/>
      <w:sz w:val="24"/>
      <w:szCs w:val="24"/>
      <w:lang w:val="zh-CN" w:eastAsia="en-US"/>
    </w:rPr>
  </w:style>
  <w:style w:type="character" w:customStyle="1" w:styleId="Heading6Char">
    <w:name w:val="Heading 6 Char"/>
    <w:basedOn w:val="DefaultParagraphFont"/>
    <w:link w:val="Heading6"/>
    <w:uiPriority w:val="9"/>
    <w:rsid w:val="00822C08"/>
    <w:rPr>
      <w:rFonts w:ascii="Times New Roman" w:eastAsiaTheme="majorEastAsia" w:hAnsi="Times New Roman" w:cstheme="majorBidi"/>
      <w:b/>
      <w:i/>
      <w:color w:val="1F3864" w:themeColor="accent1" w:themeShade="80"/>
      <w:sz w:val="24"/>
      <w:szCs w:val="24"/>
      <w:lang w:val="zh-CN" w:eastAsia="en-US"/>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1F3864" w:themeColor="accent1" w:themeShade="80"/>
      <w:sz w:val="24"/>
      <w:szCs w:val="24"/>
      <w:lang w:val="zh-CN" w:eastAsia="en-US"/>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62626" w:themeColor="text1" w:themeTint="D9"/>
      <w:sz w:val="21"/>
      <w:szCs w:val="21"/>
      <w:lang w:val="zh-CN" w:eastAsia="en-US"/>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62626" w:themeColor="text1" w:themeTint="D9"/>
      <w:sz w:val="21"/>
      <w:szCs w:val="21"/>
      <w:lang w:val="zh-CN" w:eastAsia="en-US"/>
    </w:rPr>
  </w:style>
  <w:style w:type="paragraph" w:customStyle="1" w:styleId="TOCHeading1">
    <w:name w:val="TOC Heading1"/>
    <w:basedOn w:val="Heading1"/>
    <w:next w:val="Normal"/>
    <w:uiPriority w:val="39"/>
    <w:unhideWhenUsed/>
    <w:qFormat/>
    <w:pPr>
      <w:numPr>
        <w:numId w:val="0"/>
      </w:numPr>
      <w:spacing w:before="480" w:after="0" w:line="276" w:lineRule="auto"/>
      <w:outlineLvl w:val="9"/>
    </w:pPr>
    <w:rPr>
      <w:rFonts w:asciiTheme="majorHAnsi" w:hAnsiTheme="majorHAnsi"/>
      <w:b w:val="0"/>
      <w:bCs/>
      <w:color w:val="2F5496" w:themeColor="accent1" w:themeShade="BF"/>
      <w:sz w:val="28"/>
      <w:szCs w:val="28"/>
      <w:lang w:val="en-US"/>
    </w:rPr>
  </w:style>
  <w:style w:type="character" w:customStyle="1" w:styleId="FooterChar">
    <w:name w:val="Footer Char"/>
    <w:basedOn w:val="DefaultParagraphFont"/>
    <w:link w:val="Footer"/>
    <w:uiPriority w:val="99"/>
    <w:rPr>
      <w:rFonts w:ascii="Times New Roman" w:hAnsi="Times New Roman"/>
      <w:color w:val="000000" w:themeColor="text1"/>
    </w:rPr>
  </w:style>
  <w:style w:type="character" w:customStyle="1" w:styleId="HeaderChar">
    <w:name w:val="Header Char"/>
    <w:basedOn w:val="DefaultParagraphFont"/>
    <w:link w:val="Header"/>
    <w:uiPriority w:val="99"/>
    <w:rPr>
      <w:rFonts w:ascii="Times New Roman" w:hAnsi="Times New Roman"/>
      <w:color w:val="000000" w:themeColor="text1"/>
    </w:rPr>
  </w:style>
  <w:style w:type="numbering" w:customStyle="1" w:styleId="CurrentList1">
    <w:name w:val="Current List1"/>
    <w:uiPriority w:val="99"/>
    <w:rsid w:val="007C3CE4"/>
    <w:pPr>
      <w:numPr>
        <w:numId w:val="1"/>
      </w:numPr>
    </w:pPr>
  </w:style>
  <w:style w:type="paragraph" w:styleId="NormalWeb">
    <w:name w:val="Normal (Web)"/>
    <w:basedOn w:val="Normal"/>
    <w:uiPriority w:val="99"/>
    <w:unhideWhenUsed/>
    <w:rsid w:val="00FC6059"/>
    <w:pPr>
      <w:spacing w:before="100" w:beforeAutospacing="1" w:after="100" w:afterAutospacing="1"/>
      <w:jc w:val="left"/>
    </w:pPr>
    <w:rPr>
      <w:rFonts w:eastAsia="Times New Roman" w:cs="Times New Roman"/>
      <w:color w:val="auto"/>
      <w:lang w:eastAsia="en-GB"/>
    </w:rPr>
  </w:style>
  <w:style w:type="character" w:styleId="Strong">
    <w:name w:val="Strong"/>
    <w:basedOn w:val="DefaultParagraphFont"/>
    <w:uiPriority w:val="22"/>
    <w:qFormat/>
    <w:rsid w:val="00FC6059"/>
    <w:rPr>
      <w:b/>
      <w:bCs/>
    </w:rPr>
  </w:style>
  <w:style w:type="character" w:styleId="CommentReference">
    <w:name w:val="annotation reference"/>
    <w:basedOn w:val="DefaultParagraphFont"/>
    <w:uiPriority w:val="99"/>
    <w:semiHidden/>
    <w:unhideWhenUsed/>
    <w:rsid w:val="00223412"/>
    <w:rPr>
      <w:sz w:val="16"/>
      <w:szCs w:val="16"/>
    </w:rPr>
  </w:style>
  <w:style w:type="paragraph" w:styleId="CommentText">
    <w:name w:val="annotation text"/>
    <w:basedOn w:val="Normal"/>
    <w:link w:val="CommentTextChar"/>
    <w:uiPriority w:val="99"/>
    <w:semiHidden/>
    <w:unhideWhenUsed/>
    <w:rsid w:val="00223412"/>
    <w:rPr>
      <w:sz w:val="20"/>
      <w:szCs w:val="20"/>
    </w:rPr>
  </w:style>
  <w:style w:type="character" w:customStyle="1" w:styleId="CommentTextChar">
    <w:name w:val="Comment Text Char"/>
    <w:basedOn w:val="DefaultParagraphFont"/>
    <w:link w:val="CommentText"/>
    <w:uiPriority w:val="99"/>
    <w:semiHidden/>
    <w:rsid w:val="00223412"/>
    <w:rPr>
      <w:rFonts w:ascii="Times New Roman" w:eastAsiaTheme="minorHAnsi" w:hAnsi="Times New Roman"/>
      <w:color w:val="000000" w:themeColor="text1"/>
      <w:lang w:val="zh-CN" w:eastAsia="en-US"/>
    </w:rPr>
  </w:style>
  <w:style w:type="paragraph" w:styleId="CommentSubject">
    <w:name w:val="annotation subject"/>
    <w:basedOn w:val="CommentText"/>
    <w:next w:val="CommentText"/>
    <w:link w:val="CommentSubjectChar"/>
    <w:uiPriority w:val="99"/>
    <w:semiHidden/>
    <w:unhideWhenUsed/>
    <w:rsid w:val="00223412"/>
    <w:rPr>
      <w:b/>
      <w:bCs/>
    </w:rPr>
  </w:style>
  <w:style w:type="character" w:customStyle="1" w:styleId="CommentSubjectChar">
    <w:name w:val="Comment Subject Char"/>
    <w:basedOn w:val="CommentTextChar"/>
    <w:link w:val="CommentSubject"/>
    <w:uiPriority w:val="99"/>
    <w:semiHidden/>
    <w:rsid w:val="00223412"/>
    <w:rPr>
      <w:rFonts w:ascii="Times New Roman" w:eastAsiaTheme="minorHAnsi" w:hAnsi="Times New Roman"/>
      <w:b/>
      <w:bCs/>
      <w:color w:val="000000" w:themeColor="text1"/>
      <w:lang w:val="zh-CN" w:eastAsia="en-US"/>
    </w:rPr>
  </w:style>
  <w:style w:type="paragraph" w:styleId="Revision">
    <w:name w:val="Revision"/>
    <w:hidden/>
    <w:uiPriority w:val="99"/>
    <w:semiHidden/>
    <w:rsid w:val="00FD4BE4"/>
    <w:rPr>
      <w:rFonts w:ascii="Times New Roman" w:eastAsiaTheme="minorHAnsi" w:hAnsi="Times New Roman"/>
      <w:color w:val="000000" w:themeColor="text1"/>
      <w:sz w:val="24"/>
      <w:szCs w:val="24"/>
      <w:lang w:val="zh-CN" w:eastAsia="en-US"/>
    </w:rPr>
  </w:style>
  <w:style w:type="character" w:styleId="UnresolvedMention">
    <w:name w:val="Unresolved Mention"/>
    <w:basedOn w:val="DefaultParagraphFont"/>
    <w:uiPriority w:val="99"/>
    <w:semiHidden/>
    <w:unhideWhenUsed/>
    <w:rsid w:val="00555AF9"/>
    <w:rPr>
      <w:color w:val="605E5C"/>
      <w:shd w:val="clear" w:color="auto" w:fill="E1DFDD"/>
    </w:rPr>
  </w:style>
  <w:style w:type="character" w:styleId="PlaceholderText">
    <w:name w:val="Placeholder Text"/>
    <w:basedOn w:val="DefaultParagraphFont"/>
    <w:uiPriority w:val="99"/>
    <w:semiHidden/>
    <w:rsid w:val="002F3C2B"/>
    <w:rPr>
      <w:color w:val="808080"/>
    </w:rPr>
  </w:style>
  <w:style w:type="paragraph" w:styleId="TOCHeading">
    <w:name w:val="TOC Heading"/>
    <w:basedOn w:val="Heading1"/>
    <w:next w:val="Normal"/>
    <w:uiPriority w:val="39"/>
    <w:unhideWhenUsed/>
    <w:qFormat/>
    <w:rsid w:val="00D20C9E"/>
    <w:pPr>
      <w:spacing w:before="480" w:after="0" w:line="276" w:lineRule="auto"/>
      <w:jc w:val="left"/>
      <w:outlineLvl w:val="9"/>
    </w:pPr>
    <w:rPr>
      <w:rFonts w:asciiTheme="majorHAnsi" w:hAnsiTheme="majorHAnsi"/>
      <w:bCs/>
      <w:color w:val="2F5496" w:themeColor="accent1" w:themeShade="BF"/>
      <w:szCs w:val="28"/>
      <w:lang w:val="en-US"/>
    </w:rPr>
  </w:style>
  <w:style w:type="numbering" w:customStyle="1" w:styleId="CurrentList2">
    <w:name w:val="Current List2"/>
    <w:uiPriority w:val="99"/>
    <w:rsid w:val="00A55D3E"/>
    <w:pPr>
      <w:numPr>
        <w:numId w:val="3"/>
      </w:numPr>
    </w:pPr>
  </w:style>
  <w:style w:type="numbering" w:customStyle="1" w:styleId="CurrentList6">
    <w:name w:val="Current List6"/>
    <w:uiPriority w:val="99"/>
    <w:rsid w:val="00396DBA"/>
    <w:pPr>
      <w:numPr>
        <w:numId w:val="10"/>
      </w:numPr>
    </w:pPr>
  </w:style>
  <w:style w:type="numbering" w:customStyle="1" w:styleId="CurrentList3">
    <w:name w:val="Current List3"/>
    <w:uiPriority w:val="99"/>
    <w:rsid w:val="00CC433E"/>
    <w:pPr>
      <w:numPr>
        <w:numId w:val="4"/>
      </w:numPr>
    </w:pPr>
  </w:style>
  <w:style w:type="numbering" w:customStyle="1" w:styleId="CurrentList4">
    <w:name w:val="Current List4"/>
    <w:uiPriority w:val="99"/>
    <w:rsid w:val="000417F3"/>
    <w:pPr>
      <w:numPr>
        <w:numId w:val="5"/>
      </w:numPr>
    </w:pPr>
  </w:style>
  <w:style w:type="numbering" w:customStyle="1" w:styleId="CurrentList5">
    <w:name w:val="Current List5"/>
    <w:uiPriority w:val="99"/>
    <w:rsid w:val="000417F3"/>
    <w:pPr>
      <w:numPr>
        <w:numId w:val="6"/>
      </w:numPr>
    </w:pPr>
  </w:style>
  <w:style w:type="numbering" w:customStyle="1" w:styleId="CurrentList7">
    <w:name w:val="Current List7"/>
    <w:uiPriority w:val="99"/>
    <w:rsid w:val="009B5A16"/>
    <w:pPr>
      <w:numPr>
        <w:numId w:val="11"/>
      </w:numPr>
    </w:pPr>
  </w:style>
  <w:style w:type="numbering" w:customStyle="1" w:styleId="CurrentList8">
    <w:name w:val="Current List8"/>
    <w:uiPriority w:val="99"/>
    <w:rsid w:val="00C35B75"/>
    <w:pPr>
      <w:numPr>
        <w:numId w:val="12"/>
      </w:numPr>
    </w:pPr>
  </w:style>
  <w:style w:type="numbering" w:customStyle="1" w:styleId="CurrentList9">
    <w:name w:val="Current List9"/>
    <w:uiPriority w:val="99"/>
    <w:rsid w:val="00C35B75"/>
    <w:pPr>
      <w:numPr>
        <w:numId w:val="13"/>
      </w:numPr>
    </w:pPr>
  </w:style>
  <w:style w:type="numbering" w:customStyle="1" w:styleId="CurrentList10">
    <w:name w:val="Current List10"/>
    <w:uiPriority w:val="99"/>
    <w:rsid w:val="00C35B75"/>
    <w:pPr>
      <w:numPr>
        <w:numId w:val="14"/>
      </w:numPr>
    </w:pPr>
  </w:style>
  <w:style w:type="table" w:styleId="TableGrid">
    <w:name w:val="Table Grid"/>
    <w:basedOn w:val="TableNormal"/>
    <w:uiPriority w:val="39"/>
    <w:rsid w:val="001C6F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1">
    <w:name w:val="Current List11"/>
    <w:uiPriority w:val="99"/>
    <w:rsid w:val="004F33FE"/>
    <w:pPr>
      <w:numPr>
        <w:numId w:val="33"/>
      </w:numPr>
    </w:pPr>
  </w:style>
  <w:style w:type="numbering" w:customStyle="1" w:styleId="CurrentList12">
    <w:name w:val="Current List12"/>
    <w:uiPriority w:val="99"/>
    <w:rsid w:val="0095221C"/>
    <w:pPr>
      <w:numPr>
        <w:numId w:val="34"/>
      </w:numPr>
    </w:pPr>
  </w:style>
  <w:style w:type="numbering" w:customStyle="1" w:styleId="CurrentList13">
    <w:name w:val="Current List13"/>
    <w:uiPriority w:val="99"/>
    <w:rsid w:val="00CC6E61"/>
    <w:pPr>
      <w:numPr>
        <w:numId w:val="36"/>
      </w:numPr>
    </w:pPr>
  </w:style>
  <w:style w:type="character" w:styleId="FollowedHyperlink">
    <w:name w:val="FollowedHyperlink"/>
    <w:basedOn w:val="DefaultParagraphFont"/>
    <w:uiPriority w:val="99"/>
    <w:semiHidden/>
    <w:unhideWhenUsed/>
    <w:rsid w:val="00AB4FA8"/>
    <w:rPr>
      <w:color w:val="954F72" w:themeColor="followedHyperlink"/>
      <w:u w:val="single"/>
    </w:rPr>
  </w:style>
  <w:style w:type="paragraph" w:styleId="FootnoteText">
    <w:name w:val="footnote text"/>
    <w:basedOn w:val="Normal"/>
    <w:link w:val="FootnoteTextChar"/>
    <w:uiPriority w:val="99"/>
    <w:semiHidden/>
    <w:unhideWhenUsed/>
    <w:rsid w:val="005F02FF"/>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5F02FF"/>
    <w:rPr>
      <w:rFonts w:ascii="Times New Roman" w:eastAsiaTheme="minorHAnsi" w:hAnsi="Times New Roman"/>
      <w:color w:val="000000" w:themeColor="text1"/>
      <w:lang w:val="zh-CN" w:eastAsia="en-US"/>
    </w:rPr>
  </w:style>
  <w:style w:type="character" w:styleId="FootnoteReference">
    <w:name w:val="footnote reference"/>
    <w:basedOn w:val="DefaultParagraphFont"/>
    <w:uiPriority w:val="99"/>
    <w:semiHidden/>
    <w:unhideWhenUsed/>
    <w:rsid w:val="005F02FF"/>
    <w:rPr>
      <w:vertAlign w:val="superscript"/>
    </w:rPr>
  </w:style>
  <w:style w:type="numbering" w:customStyle="1" w:styleId="CurrentList14">
    <w:name w:val="Current List14"/>
    <w:uiPriority w:val="99"/>
    <w:rsid w:val="002D12C5"/>
    <w:pPr>
      <w:numPr>
        <w:numId w:val="51"/>
      </w:numPr>
    </w:pPr>
  </w:style>
  <w:style w:type="table" w:styleId="PlainTable5">
    <w:name w:val="Plain Table 5"/>
    <w:basedOn w:val="TableNormal"/>
    <w:uiPriority w:val="45"/>
    <w:rsid w:val="00C15675"/>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C15675"/>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C15675"/>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930399"/>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930399"/>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93039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2">
    <w:name w:val="Grid Table 1 Light Accent 2"/>
    <w:basedOn w:val="TableNormal"/>
    <w:uiPriority w:val="46"/>
    <w:rsid w:val="00930399"/>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930399"/>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930399"/>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930399"/>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1029876">
      <w:bodyDiv w:val="1"/>
      <w:marLeft w:val="0"/>
      <w:marRight w:val="0"/>
      <w:marTop w:val="0"/>
      <w:marBottom w:val="0"/>
      <w:divBdr>
        <w:top w:val="none" w:sz="0" w:space="0" w:color="auto"/>
        <w:left w:val="none" w:sz="0" w:space="0" w:color="auto"/>
        <w:bottom w:val="none" w:sz="0" w:space="0" w:color="auto"/>
        <w:right w:val="none" w:sz="0" w:space="0" w:color="auto"/>
      </w:divBdr>
    </w:div>
    <w:div w:id="85853120">
      <w:bodyDiv w:val="1"/>
      <w:marLeft w:val="0"/>
      <w:marRight w:val="0"/>
      <w:marTop w:val="0"/>
      <w:marBottom w:val="0"/>
      <w:divBdr>
        <w:top w:val="none" w:sz="0" w:space="0" w:color="auto"/>
        <w:left w:val="none" w:sz="0" w:space="0" w:color="auto"/>
        <w:bottom w:val="none" w:sz="0" w:space="0" w:color="auto"/>
        <w:right w:val="none" w:sz="0" w:space="0" w:color="auto"/>
      </w:divBdr>
    </w:div>
    <w:div w:id="122160708">
      <w:bodyDiv w:val="1"/>
      <w:marLeft w:val="0"/>
      <w:marRight w:val="0"/>
      <w:marTop w:val="0"/>
      <w:marBottom w:val="0"/>
      <w:divBdr>
        <w:top w:val="none" w:sz="0" w:space="0" w:color="auto"/>
        <w:left w:val="none" w:sz="0" w:space="0" w:color="auto"/>
        <w:bottom w:val="none" w:sz="0" w:space="0" w:color="auto"/>
        <w:right w:val="none" w:sz="0" w:space="0" w:color="auto"/>
      </w:divBdr>
    </w:div>
    <w:div w:id="135804671">
      <w:bodyDiv w:val="1"/>
      <w:marLeft w:val="0"/>
      <w:marRight w:val="0"/>
      <w:marTop w:val="0"/>
      <w:marBottom w:val="0"/>
      <w:divBdr>
        <w:top w:val="none" w:sz="0" w:space="0" w:color="auto"/>
        <w:left w:val="none" w:sz="0" w:space="0" w:color="auto"/>
        <w:bottom w:val="none" w:sz="0" w:space="0" w:color="auto"/>
        <w:right w:val="none" w:sz="0" w:space="0" w:color="auto"/>
      </w:divBdr>
      <w:divsChild>
        <w:div w:id="359360673">
          <w:marLeft w:val="0"/>
          <w:marRight w:val="0"/>
          <w:marTop w:val="0"/>
          <w:marBottom w:val="0"/>
          <w:divBdr>
            <w:top w:val="none" w:sz="0" w:space="0" w:color="auto"/>
            <w:left w:val="none" w:sz="0" w:space="0" w:color="auto"/>
            <w:bottom w:val="none" w:sz="0" w:space="0" w:color="auto"/>
            <w:right w:val="none" w:sz="0" w:space="0" w:color="auto"/>
          </w:divBdr>
          <w:divsChild>
            <w:div w:id="1008754555">
              <w:marLeft w:val="0"/>
              <w:marRight w:val="0"/>
              <w:marTop w:val="0"/>
              <w:marBottom w:val="0"/>
              <w:divBdr>
                <w:top w:val="none" w:sz="0" w:space="0" w:color="auto"/>
                <w:left w:val="none" w:sz="0" w:space="0" w:color="auto"/>
                <w:bottom w:val="none" w:sz="0" w:space="0" w:color="auto"/>
                <w:right w:val="none" w:sz="0" w:space="0" w:color="auto"/>
              </w:divBdr>
              <w:divsChild>
                <w:div w:id="3115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98837">
      <w:bodyDiv w:val="1"/>
      <w:marLeft w:val="0"/>
      <w:marRight w:val="0"/>
      <w:marTop w:val="0"/>
      <w:marBottom w:val="0"/>
      <w:divBdr>
        <w:top w:val="none" w:sz="0" w:space="0" w:color="auto"/>
        <w:left w:val="none" w:sz="0" w:space="0" w:color="auto"/>
        <w:bottom w:val="none" w:sz="0" w:space="0" w:color="auto"/>
        <w:right w:val="none" w:sz="0" w:space="0" w:color="auto"/>
      </w:divBdr>
      <w:divsChild>
        <w:div w:id="475493413">
          <w:marLeft w:val="0"/>
          <w:marRight w:val="0"/>
          <w:marTop w:val="0"/>
          <w:marBottom w:val="0"/>
          <w:divBdr>
            <w:top w:val="none" w:sz="0" w:space="0" w:color="auto"/>
            <w:left w:val="none" w:sz="0" w:space="0" w:color="auto"/>
            <w:bottom w:val="none" w:sz="0" w:space="0" w:color="auto"/>
            <w:right w:val="none" w:sz="0" w:space="0" w:color="auto"/>
          </w:divBdr>
        </w:div>
        <w:div w:id="1567255483">
          <w:marLeft w:val="0"/>
          <w:marRight w:val="0"/>
          <w:marTop w:val="0"/>
          <w:marBottom w:val="0"/>
          <w:divBdr>
            <w:top w:val="none" w:sz="0" w:space="0" w:color="auto"/>
            <w:left w:val="none" w:sz="0" w:space="0" w:color="auto"/>
            <w:bottom w:val="none" w:sz="0" w:space="0" w:color="auto"/>
            <w:right w:val="none" w:sz="0" w:space="0" w:color="auto"/>
          </w:divBdr>
        </w:div>
      </w:divsChild>
    </w:div>
    <w:div w:id="221916596">
      <w:bodyDiv w:val="1"/>
      <w:marLeft w:val="0"/>
      <w:marRight w:val="0"/>
      <w:marTop w:val="0"/>
      <w:marBottom w:val="0"/>
      <w:divBdr>
        <w:top w:val="none" w:sz="0" w:space="0" w:color="auto"/>
        <w:left w:val="none" w:sz="0" w:space="0" w:color="auto"/>
        <w:bottom w:val="none" w:sz="0" w:space="0" w:color="auto"/>
        <w:right w:val="none" w:sz="0" w:space="0" w:color="auto"/>
      </w:divBdr>
    </w:div>
    <w:div w:id="312224567">
      <w:bodyDiv w:val="1"/>
      <w:marLeft w:val="0"/>
      <w:marRight w:val="0"/>
      <w:marTop w:val="0"/>
      <w:marBottom w:val="0"/>
      <w:divBdr>
        <w:top w:val="none" w:sz="0" w:space="0" w:color="auto"/>
        <w:left w:val="none" w:sz="0" w:space="0" w:color="auto"/>
        <w:bottom w:val="none" w:sz="0" w:space="0" w:color="auto"/>
        <w:right w:val="none" w:sz="0" w:space="0" w:color="auto"/>
      </w:divBdr>
    </w:div>
    <w:div w:id="353698701">
      <w:bodyDiv w:val="1"/>
      <w:marLeft w:val="0"/>
      <w:marRight w:val="0"/>
      <w:marTop w:val="0"/>
      <w:marBottom w:val="0"/>
      <w:divBdr>
        <w:top w:val="none" w:sz="0" w:space="0" w:color="auto"/>
        <w:left w:val="none" w:sz="0" w:space="0" w:color="auto"/>
        <w:bottom w:val="none" w:sz="0" w:space="0" w:color="auto"/>
        <w:right w:val="none" w:sz="0" w:space="0" w:color="auto"/>
      </w:divBdr>
    </w:div>
    <w:div w:id="372003945">
      <w:bodyDiv w:val="1"/>
      <w:marLeft w:val="0"/>
      <w:marRight w:val="0"/>
      <w:marTop w:val="0"/>
      <w:marBottom w:val="0"/>
      <w:divBdr>
        <w:top w:val="none" w:sz="0" w:space="0" w:color="auto"/>
        <w:left w:val="none" w:sz="0" w:space="0" w:color="auto"/>
        <w:bottom w:val="none" w:sz="0" w:space="0" w:color="auto"/>
        <w:right w:val="none" w:sz="0" w:space="0" w:color="auto"/>
      </w:divBdr>
    </w:div>
    <w:div w:id="446966282">
      <w:bodyDiv w:val="1"/>
      <w:marLeft w:val="0"/>
      <w:marRight w:val="0"/>
      <w:marTop w:val="0"/>
      <w:marBottom w:val="0"/>
      <w:divBdr>
        <w:top w:val="none" w:sz="0" w:space="0" w:color="auto"/>
        <w:left w:val="none" w:sz="0" w:space="0" w:color="auto"/>
        <w:bottom w:val="none" w:sz="0" w:space="0" w:color="auto"/>
        <w:right w:val="none" w:sz="0" w:space="0" w:color="auto"/>
      </w:divBdr>
    </w:div>
    <w:div w:id="524290664">
      <w:bodyDiv w:val="1"/>
      <w:marLeft w:val="0"/>
      <w:marRight w:val="0"/>
      <w:marTop w:val="0"/>
      <w:marBottom w:val="0"/>
      <w:divBdr>
        <w:top w:val="none" w:sz="0" w:space="0" w:color="auto"/>
        <w:left w:val="none" w:sz="0" w:space="0" w:color="auto"/>
        <w:bottom w:val="none" w:sz="0" w:space="0" w:color="auto"/>
        <w:right w:val="none" w:sz="0" w:space="0" w:color="auto"/>
      </w:divBdr>
    </w:div>
    <w:div w:id="553541945">
      <w:bodyDiv w:val="1"/>
      <w:marLeft w:val="0"/>
      <w:marRight w:val="0"/>
      <w:marTop w:val="0"/>
      <w:marBottom w:val="0"/>
      <w:divBdr>
        <w:top w:val="none" w:sz="0" w:space="0" w:color="auto"/>
        <w:left w:val="none" w:sz="0" w:space="0" w:color="auto"/>
        <w:bottom w:val="none" w:sz="0" w:space="0" w:color="auto"/>
        <w:right w:val="none" w:sz="0" w:space="0" w:color="auto"/>
      </w:divBdr>
    </w:div>
    <w:div w:id="577977742">
      <w:bodyDiv w:val="1"/>
      <w:marLeft w:val="0"/>
      <w:marRight w:val="0"/>
      <w:marTop w:val="0"/>
      <w:marBottom w:val="0"/>
      <w:divBdr>
        <w:top w:val="none" w:sz="0" w:space="0" w:color="auto"/>
        <w:left w:val="none" w:sz="0" w:space="0" w:color="auto"/>
        <w:bottom w:val="none" w:sz="0" w:space="0" w:color="auto"/>
        <w:right w:val="none" w:sz="0" w:space="0" w:color="auto"/>
      </w:divBdr>
      <w:divsChild>
        <w:div w:id="473640182">
          <w:marLeft w:val="0"/>
          <w:marRight w:val="0"/>
          <w:marTop w:val="0"/>
          <w:marBottom w:val="0"/>
          <w:divBdr>
            <w:top w:val="none" w:sz="0" w:space="0" w:color="auto"/>
            <w:left w:val="none" w:sz="0" w:space="0" w:color="auto"/>
            <w:bottom w:val="none" w:sz="0" w:space="0" w:color="auto"/>
            <w:right w:val="none" w:sz="0" w:space="0" w:color="auto"/>
          </w:divBdr>
        </w:div>
        <w:div w:id="1835491934">
          <w:marLeft w:val="0"/>
          <w:marRight w:val="0"/>
          <w:marTop w:val="0"/>
          <w:marBottom w:val="0"/>
          <w:divBdr>
            <w:top w:val="none" w:sz="0" w:space="0" w:color="auto"/>
            <w:left w:val="none" w:sz="0" w:space="0" w:color="auto"/>
            <w:bottom w:val="none" w:sz="0" w:space="0" w:color="auto"/>
            <w:right w:val="none" w:sz="0" w:space="0" w:color="auto"/>
          </w:divBdr>
        </w:div>
        <w:div w:id="1612669270">
          <w:marLeft w:val="0"/>
          <w:marRight w:val="0"/>
          <w:marTop w:val="0"/>
          <w:marBottom w:val="0"/>
          <w:divBdr>
            <w:top w:val="none" w:sz="0" w:space="0" w:color="auto"/>
            <w:left w:val="none" w:sz="0" w:space="0" w:color="auto"/>
            <w:bottom w:val="none" w:sz="0" w:space="0" w:color="auto"/>
            <w:right w:val="none" w:sz="0" w:space="0" w:color="auto"/>
          </w:divBdr>
        </w:div>
        <w:div w:id="1481538939">
          <w:marLeft w:val="0"/>
          <w:marRight w:val="0"/>
          <w:marTop w:val="0"/>
          <w:marBottom w:val="0"/>
          <w:divBdr>
            <w:top w:val="none" w:sz="0" w:space="0" w:color="auto"/>
            <w:left w:val="none" w:sz="0" w:space="0" w:color="auto"/>
            <w:bottom w:val="none" w:sz="0" w:space="0" w:color="auto"/>
            <w:right w:val="none" w:sz="0" w:space="0" w:color="auto"/>
          </w:divBdr>
        </w:div>
        <w:div w:id="2106336572">
          <w:marLeft w:val="0"/>
          <w:marRight w:val="0"/>
          <w:marTop w:val="0"/>
          <w:marBottom w:val="0"/>
          <w:divBdr>
            <w:top w:val="none" w:sz="0" w:space="0" w:color="auto"/>
            <w:left w:val="none" w:sz="0" w:space="0" w:color="auto"/>
            <w:bottom w:val="none" w:sz="0" w:space="0" w:color="auto"/>
            <w:right w:val="none" w:sz="0" w:space="0" w:color="auto"/>
          </w:divBdr>
        </w:div>
        <w:div w:id="1883980469">
          <w:marLeft w:val="0"/>
          <w:marRight w:val="0"/>
          <w:marTop w:val="0"/>
          <w:marBottom w:val="0"/>
          <w:divBdr>
            <w:top w:val="none" w:sz="0" w:space="0" w:color="auto"/>
            <w:left w:val="none" w:sz="0" w:space="0" w:color="auto"/>
            <w:bottom w:val="none" w:sz="0" w:space="0" w:color="auto"/>
            <w:right w:val="none" w:sz="0" w:space="0" w:color="auto"/>
          </w:divBdr>
        </w:div>
        <w:div w:id="1173103390">
          <w:marLeft w:val="0"/>
          <w:marRight w:val="0"/>
          <w:marTop w:val="0"/>
          <w:marBottom w:val="0"/>
          <w:divBdr>
            <w:top w:val="none" w:sz="0" w:space="0" w:color="auto"/>
            <w:left w:val="none" w:sz="0" w:space="0" w:color="auto"/>
            <w:bottom w:val="none" w:sz="0" w:space="0" w:color="auto"/>
            <w:right w:val="none" w:sz="0" w:space="0" w:color="auto"/>
          </w:divBdr>
        </w:div>
        <w:div w:id="1140345803">
          <w:marLeft w:val="0"/>
          <w:marRight w:val="0"/>
          <w:marTop w:val="0"/>
          <w:marBottom w:val="0"/>
          <w:divBdr>
            <w:top w:val="none" w:sz="0" w:space="0" w:color="auto"/>
            <w:left w:val="none" w:sz="0" w:space="0" w:color="auto"/>
            <w:bottom w:val="none" w:sz="0" w:space="0" w:color="auto"/>
            <w:right w:val="none" w:sz="0" w:space="0" w:color="auto"/>
          </w:divBdr>
        </w:div>
        <w:div w:id="1300652115">
          <w:marLeft w:val="0"/>
          <w:marRight w:val="0"/>
          <w:marTop w:val="0"/>
          <w:marBottom w:val="0"/>
          <w:divBdr>
            <w:top w:val="none" w:sz="0" w:space="0" w:color="auto"/>
            <w:left w:val="none" w:sz="0" w:space="0" w:color="auto"/>
            <w:bottom w:val="none" w:sz="0" w:space="0" w:color="auto"/>
            <w:right w:val="none" w:sz="0" w:space="0" w:color="auto"/>
          </w:divBdr>
        </w:div>
        <w:div w:id="1858276243">
          <w:marLeft w:val="0"/>
          <w:marRight w:val="0"/>
          <w:marTop w:val="0"/>
          <w:marBottom w:val="0"/>
          <w:divBdr>
            <w:top w:val="none" w:sz="0" w:space="0" w:color="auto"/>
            <w:left w:val="none" w:sz="0" w:space="0" w:color="auto"/>
            <w:bottom w:val="none" w:sz="0" w:space="0" w:color="auto"/>
            <w:right w:val="none" w:sz="0" w:space="0" w:color="auto"/>
          </w:divBdr>
        </w:div>
      </w:divsChild>
    </w:div>
    <w:div w:id="589433892">
      <w:bodyDiv w:val="1"/>
      <w:marLeft w:val="0"/>
      <w:marRight w:val="0"/>
      <w:marTop w:val="0"/>
      <w:marBottom w:val="0"/>
      <w:divBdr>
        <w:top w:val="none" w:sz="0" w:space="0" w:color="auto"/>
        <w:left w:val="none" w:sz="0" w:space="0" w:color="auto"/>
        <w:bottom w:val="none" w:sz="0" w:space="0" w:color="auto"/>
        <w:right w:val="none" w:sz="0" w:space="0" w:color="auto"/>
      </w:divBdr>
    </w:div>
    <w:div w:id="589971395">
      <w:bodyDiv w:val="1"/>
      <w:marLeft w:val="0"/>
      <w:marRight w:val="0"/>
      <w:marTop w:val="0"/>
      <w:marBottom w:val="0"/>
      <w:divBdr>
        <w:top w:val="none" w:sz="0" w:space="0" w:color="auto"/>
        <w:left w:val="none" w:sz="0" w:space="0" w:color="auto"/>
        <w:bottom w:val="none" w:sz="0" w:space="0" w:color="auto"/>
        <w:right w:val="none" w:sz="0" w:space="0" w:color="auto"/>
      </w:divBdr>
      <w:divsChild>
        <w:div w:id="1709136590">
          <w:marLeft w:val="0"/>
          <w:marRight w:val="0"/>
          <w:marTop w:val="0"/>
          <w:marBottom w:val="0"/>
          <w:divBdr>
            <w:top w:val="none" w:sz="0" w:space="0" w:color="auto"/>
            <w:left w:val="none" w:sz="0" w:space="0" w:color="auto"/>
            <w:bottom w:val="none" w:sz="0" w:space="0" w:color="auto"/>
            <w:right w:val="none" w:sz="0" w:space="0" w:color="auto"/>
          </w:divBdr>
          <w:divsChild>
            <w:div w:id="82070409">
              <w:marLeft w:val="0"/>
              <w:marRight w:val="0"/>
              <w:marTop w:val="0"/>
              <w:marBottom w:val="0"/>
              <w:divBdr>
                <w:top w:val="none" w:sz="0" w:space="0" w:color="auto"/>
                <w:left w:val="none" w:sz="0" w:space="0" w:color="auto"/>
                <w:bottom w:val="none" w:sz="0" w:space="0" w:color="auto"/>
                <w:right w:val="none" w:sz="0" w:space="0" w:color="auto"/>
              </w:divBdr>
              <w:divsChild>
                <w:div w:id="1676416180">
                  <w:marLeft w:val="0"/>
                  <w:marRight w:val="0"/>
                  <w:marTop w:val="0"/>
                  <w:marBottom w:val="0"/>
                  <w:divBdr>
                    <w:top w:val="none" w:sz="0" w:space="0" w:color="auto"/>
                    <w:left w:val="none" w:sz="0" w:space="0" w:color="auto"/>
                    <w:bottom w:val="none" w:sz="0" w:space="0" w:color="auto"/>
                    <w:right w:val="none" w:sz="0" w:space="0" w:color="auto"/>
                  </w:divBdr>
                </w:div>
                <w:div w:id="789740807">
                  <w:marLeft w:val="0"/>
                  <w:marRight w:val="0"/>
                  <w:marTop w:val="0"/>
                  <w:marBottom w:val="0"/>
                  <w:divBdr>
                    <w:top w:val="none" w:sz="0" w:space="0" w:color="auto"/>
                    <w:left w:val="none" w:sz="0" w:space="0" w:color="auto"/>
                    <w:bottom w:val="none" w:sz="0" w:space="0" w:color="auto"/>
                    <w:right w:val="none" w:sz="0" w:space="0" w:color="auto"/>
                  </w:divBdr>
                </w:div>
                <w:div w:id="2070153402">
                  <w:marLeft w:val="0"/>
                  <w:marRight w:val="0"/>
                  <w:marTop w:val="0"/>
                  <w:marBottom w:val="0"/>
                  <w:divBdr>
                    <w:top w:val="none" w:sz="0" w:space="0" w:color="auto"/>
                    <w:left w:val="none" w:sz="0" w:space="0" w:color="auto"/>
                    <w:bottom w:val="none" w:sz="0" w:space="0" w:color="auto"/>
                    <w:right w:val="none" w:sz="0" w:space="0" w:color="auto"/>
                  </w:divBdr>
                  <w:divsChild>
                    <w:div w:id="937105670">
                      <w:marLeft w:val="0"/>
                      <w:marRight w:val="0"/>
                      <w:marTop w:val="0"/>
                      <w:marBottom w:val="0"/>
                      <w:divBdr>
                        <w:top w:val="none" w:sz="0" w:space="0" w:color="auto"/>
                        <w:left w:val="none" w:sz="0" w:space="0" w:color="auto"/>
                        <w:bottom w:val="none" w:sz="0" w:space="0" w:color="auto"/>
                        <w:right w:val="none" w:sz="0" w:space="0" w:color="auto"/>
                      </w:divBdr>
                      <w:divsChild>
                        <w:div w:id="566771572">
                          <w:marLeft w:val="0"/>
                          <w:marRight w:val="0"/>
                          <w:marTop w:val="0"/>
                          <w:marBottom w:val="0"/>
                          <w:divBdr>
                            <w:top w:val="none" w:sz="0" w:space="0" w:color="auto"/>
                            <w:left w:val="none" w:sz="0" w:space="0" w:color="auto"/>
                            <w:bottom w:val="none" w:sz="0" w:space="0" w:color="auto"/>
                            <w:right w:val="none" w:sz="0" w:space="0" w:color="auto"/>
                          </w:divBdr>
                        </w:div>
                        <w:div w:id="1536963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947341">
                  <w:marLeft w:val="0"/>
                  <w:marRight w:val="0"/>
                  <w:marTop w:val="0"/>
                  <w:marBottom w:val="0"/>
                  <w:divBdr>
                    <w:top w:val="none" w:sz="0" w:space="0" w:color="auto"/>
                    <w:left w:val="none" w:sz="0" w:space="0" w:color="auto"/>
                    <w:bottom w:val="none" w:sz="0" w:space="0" w:color="auto"/>
                    <w:right w:val="none" w:sz="0" w:space="0" w:color="auto"/>
                  </w:divBdr>
                </w:div>
                <w:div w:id="1747728839">
                  <w:marLeft w:val="0"/>
                  <w:marRight w:val="0"/>
                  <w:marTop w:val="0"/>
                  <w:marBottom w:val="0"/>
                  <w:divBdr>
                    <w:top w:val="none" w:sz="0" w:space="0" w:color="auto"/>
                    <w:left w:val="none" w:sz="0" w:space="0" w:color="auto"/>
                    <w:bottom w:val="none" w:sz="0" w:space="0" w:color="auto"/>
                    <w:right w:val="none" w:sz="0" w:space="0" w:color="auto"/>
                  </w:divBdr>
                  <w:divsChild>
                    <w:div w:id="2036493022">
                      <w:marLeft w:val="0"/>
                      <w:marRight w:val="0"/>
                      <w:marTop w:val="0"/>
                      <w:marBottom w:val="0"/>
                      <w:divBdr>
                        <w:top w:val="none" w:sz="0" w:space="0" w:color="auto"/>
                        <w:left w:val="none" w:sz="0" w:space="0" w:color="auto"/>
                        <w:bottom w:val="none" w:sz="0" w:space="0" w:color="auto"/>
                        <w:right w:val="none" w:sz="0" w:space="0" w:color="auto"/>
                      </w:divBdr>
                      <w:divsChild>
                        <w:div w:id="144979807">
                          <w:marLeft w:val="0"/>
                          <w:marRight w:val="0"/>
                          <w:marTop w:val="0"/>
                          <w:marBottom w:val="0"/>
                          <w:divBdr>
                            <w:top w:val="none" w:sz="0" w:space="0" w:color="auto"/>
                            <w:left w:val="none" w:sz="0" w:space="0" w:color="auto"/>
                            <w:bottom w:val="none" w:sz="0" w:space="0" w:color="auto"/>
                            <w:right w:val="none" w:sz="0" w:space="0" w:color="auto"/>
                          </w:divBdr>
                        </w:div>
                        <w:div w:id="101996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991453">
                  <w:marLeft w:val="0"/>
                  <w:marRight w:val="0"/>
                  <w:marTop w:val="0"/>
                  <w:marBottom w:val="0"/>
                  <w:divBdr>
                    <w:top w:val="none" w:sz="0" w:space="0" w:color="auto"/>
                    <w:left w:val="none" w:sz="0" w:space="0" w:color="auto"/>
                    <w:bottom w:val="none" w:sz="0" w:space="0" w:color="auto"/>
                    <w:right w:val="none" w:sz="0" w:space="0" w:color="auto"/>
                  </w:divBdr>
                </w:div>
                <w:div w:id="991449440">
                  <w:marLeft w:val="0"/>
                  <w:marRight w:val="0"/>
                  <w:marTop w:val="0"/>
                  <w:marBottom w:val="0"/>
                  <w:divBdr>
                    <w:top w:val="none" w:sz="0" w:space="0" w:color="auto"/>
                    <w:left w:val="none" w:sz="0" w:space="0" w:color="auto"/>
                    <w:bottom w:val="none" w:sz="0" w:space="0" w:color="auto"/>
                    <w:right w:val="none" w:sz="0" w:space="0" w:color="auto"/>
                  </w:divBdr>
                </w:div>
                <w:div w:id="1768963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1307704">
      <w:bodyDiv w:val="1"/>
      <w:marLeft w:val="0"/>
      <w:marRight w:val="0"/>
      <w:marTop w:val="0"/>
      <w:marBottom w:val="0"/>
      <w:divBdr>
        <w:top w:val="none" w:sz="0" w:space="0" w:color="auto"/>
        <w:left w:val="none" w:sz="0" w:space="0" w:color="auto"/>
        <w:bottom w:val="none" w:sz="0" w:space="0" w:color="auto"/>
        <w:right w:val="none" w:sz="0" w:space="0" w:color="auto"/>
      </w:divBdr>
    </w:div>
    <w:div w:id="619993659">
      <w:bodyDiv w:val="1"/>
      <w:marLeft w:val="0"/>
      <w:marRight w:val="0"/>
      <w:marTop w:val="0"/>
      <w:marBottom w:val="0"/>
      <w:divBdr>
        <w:top w:val="none" w:sz="0" w:space="0" w:color="auto"/>
        <w:left w:val="none" w:sz="0" w:space="0" w:color="auto"/>
        <w:bottom w:val="none" w:sz="0" w:space="0" w:color="auto"/>
        <w:right w:val="none" w:sz="0" w:space="0" w:color="auto"/>
      </w:divBdr>
    </w:div>
    <w:div w:id="628435627">
      <w:bodyDiv w:val="1"/>
      <w:marLeft w:val="0"/>
      <w:marRight w:val="0"/>
      <w:marTop w:val="0"/>
      <w:marBottom w:val="0"/>
      <w:divBdr>
        <w:top w:val="none" w:sz="0" w:space="0" w:color="auto"/>
        <w:left w:val="none" w:sz="0" w:space="0" w:color="auto"/>
        <w:bottom w:val="none" w:sz="0" w:space="0" w:color="auto"/>
        <w:right w:val="none" w:sz="0" w:space="0" w:color="auto"/>
      </w:divBdr>
      <w:divsChild>
        <w:div w:id="1531993719">
          <w:marLeft w:val="0"/>
          <w:marRight w:val="0"/>
          <w:marTop w:val="0"/>
          <w:marBottom w:val="0"/>
          <w:divBdr>
            <w:top w:val="none" w:sz="0" w:space="0" w:color="auto"/>
            <w:left w:val="none" w:sz="0" w:space="0" w:color="auto"/>
            <w:bottom w:val="none" w:sz="0" w:space="0" w:color="auto"/>
            <w:right w:val="none" w:sz="0" w:space="0" w:color="auto"/>
          </w:divBdr>
          <w:divsChild>
            <w:div w:id="1125079045">
              <w:marLeft w:val="0"/>
              <w:marRight w:val="0"/>
              <w:marTop w:val="0"/>
              <w:marBottom w:val="0"/>
              <w:divBdr>
                <w:top w:val="none" w:sz="0" w:space="0" w:color="auto"/>
                <w:left w:val="none" w:sz="0" w:space="0" w:color="auto"/>
                <w:bottom w:val="none" w:sz="0" w:space="0" w:color="auto"/>
                <w:right w:val="none" w:sz="0" w:space="0" w:color="auto"/>
              </w:divBdr>
              <w:divsChild>
                <w:div w:id="149383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0762825">
      <w:bodyDiv w:val="1"/>
      <w:marLeft w:val="0"/>
      <w:marRight w:val="0"/>
      <w:marTop w:val="0"/>
      <w:marBottom w:val="0"/>
      <w:divBdr>
        <w:top w:val="none" w:sz="0" w:space="0" w:color="auto"/>
        <w:left w:val="none" w:sz="0" w:space="0" w:color="auto"/>
        <w:bottom w:val="none" w:sz="0" w:space="0" w:color="auto"/>
        <w:right w:val="none" w:sz="0" w:space="0" w:color="auto"/>
      </w:divBdr>
      <w:divsChild>
        <w:div w:id="801388836">
          <w:marLeft w:val="0"/>
          <w:marRight w:val="0"/>
          <w:marTop w:val="0"/>
          <w:marBottom w:val="0"/>
          <w:divBdr>
            <w:top w:val="none" w:sz="0" w:space="0" w:color="auto"/>
            <w:left w:val="none" w:sz="0" w:space="0" w:color="auto"/>
            <w:bottom w:val="none" w:sz="0" w:space="0" w:color="auto"/>
            <w:right w:val="none" w:sz="0" w:space="0" w:color="auto"/>
          </w:divBdr>
        </w:div>
        <w:div w:id="736435535">
          <w:marLeft w:val="0"/>
          <w:marRight w:val="0"/>
          <w:marTop w:val="0"/>
          <w:marBottom w:val="0"/>
          <w:divBdr>
            <w:top w:val="none" w:sz="0" w:space="0" w:color="auto"/>
            <w:left w:val="none" w:sz="0" w:space="0" w:color="auto"/>
            <w:bottom w:val="none" w:sz="0" w:space="0" w:color="auto"/>
            <w:right w:val="none" w:sz="0" w:space="0" w:color="auto"/>
          </w:divBdr>
        </w:div>
        <w:div w:id="1852137831">
          <w:marLeft w:val="0"/>
          <w:marRight w:val="0"/>
          <w:marTop w:val="0"/>
          <w:marBottom w:val="0"/>
          <w:divBdr>
            <w:top w:val="none" w:sz="0" w:space="0" w:color="auto"/>
            <w:left w:val="none" w:sz="0" w:space="0" w:color="auto"/>
            <w:bottom w:val="none" w:sz="0" w:space="0" w:color="auto"/>
            <w:right w:val="none" w:sz="0" w:space="0" w:color="auto"/>
          </w:divBdr>
        </w:div>
        <w:div w:id="1364213523">
          <w:marLeft w:val="0"/>
          <w:marRight w:val="0"/>
          <w:marTop w:val="0"/>
          <w:marBottom w:val="0"/>
          <w:divBdr>
            <w:top w:val="none" w:sz="0" w:space="0" w:color="auto"/>
            <w:left w:val="none" w:sz="0" w:space="0" w:color="auto"/>
            <w:bottom w:val="none" w:sz="0" w:space="0" w:color="auto"/>
            <w:right w:val="none" w:sz="0" w:space="0" w:color="auto"/>
          </w:divBdr>
        </w:div>
        <w:div w:id="1135099210">
          <w:marLeft w:val="0"/>
          <w:marRight w:val="0"/>
          <w:marTop w:val="0"/>
          <w:marBottom w:val="0"/>
          <w:divBdr>
            <w:top w:val="none" w:sz="0" w:space="0" w:color="auto"/>
            <w:left w:val="none" w:sz="0" w:space="0" w:color="auto"/>
            <w:bottom w:val="none" w:sz="0" w:space="0" w:color="auto"/>
            <w:right w:val="none" w:sz="0" w:space="0" w:color="auto"/>
          </w:divBdr>
        </w:div>
        <w:div w:id="1796289015">
          <w:marLeft w:val="0"/>
          <w:marRight w:val="0"/>
          <w:marTop w:val="0"/>
          <w:marBottom w:val="0"/>
          <w:divBdr>
            <w:top w:val="none" w:sz="0" w:space="0" w:color="auto"/>
            <w:left w:val="none" w:sz="0" w:space="0" w:color="auto"/>
            <w:bottom w:val="none" w:sz="0" w:space="0" w:color="auto"/>
            <w:right w:val="none" w:sz="0" w:space="0" w:color="auto"/>
          </w:divBdr>
        </w:div>
        <w:div w:id="1669478668">
          <w:marLeft w:val="0"/>
          <w:marRight w:val="0"/>
          <w:marTop w:val="0"/>
          <w:marBottom w:val="0"/>
          <w:divBdr>
            <w:top w:val="none" w:sz="0" w:space="0" w:color="auto"/>
            <w:left w:val="none" w:sz="0" w:space="0" w:color="auto"/>
            <w:bottom w:val="none" w:sz="0" w:space="0" w:color="auto"/>
            <w:right w:val="none" w:sz="0" w:space="0" w:color="auto"/>
          </w:divBdr>
        </w:div>
      </w:divsChild>
    </w:div>
    <w:div w:id="721561394">
      <w:bodyDiv w:val="1"/>
      <w:marLeft w:val="0"/>
      <w:marRight w:val="0"/>
      <w:marTop w:val="0"/>
      <w:marBottom w:val="0"/>
      <w:divBdr>
        <w:top w:val="none" w:sz="0" w:space="0" w:color="auto"/>
        <w:left w:val="none" w:sz="0" w:space="0" w:color="auto"/>
        <w:bottom w:val="none" w:sz="0" w:space="0" w:color="auto"/>
        <w:right w:val="none" w:sz="0" w:space="0" w:color="auto"/>
      </w:divBdr>
    </w:div>
    <w:div w:id="774176831">
      <w:bodyDiv w:val="1"/>
      <w:marLeft w:val="0"/>
      <w:marRight w:val="0"/>
      <w:marTop w:val="0"/>
      <w:marBottom w:val="0"/>
      <w:divBdr>
        <w:top w:val="none" w:sz="0" w:space="0" w:color="auto"/>
        <w:left w:val="none" w:sz="0" w:space="0" w:color="auto"/>
        <w:bottom w:val="none" w:sz="0" w:space="0" w:color="auto"/>
        <w:right w:val="none" w:sz="0" w:space="0" w:color="auto"/>
      </w:divBdr>
    </w:div>
    <w:div w:id="785778439">
      <w:bodyDiv w:val="1"/>
      <w:marLeft w:val="0"/>
      <w:marRight w:val="0"/>
      <w:marTop w:val="0"/>
      <w:marBottom w:val="0"/>
      <w:divBdr>
        <w:top w:val="none" w:sz="0" w:space="0" w:color="auto"/>
        <w:left w:val="none" w:sz="0" w:space="0" w:color="auto"/>
        <w:bottom w:val="none" w:sz="0" w:space="0" w:color="auto"/>
        <w:right w:val="none" w:sz="0" w:space="0" w:color="auto"/>
      </w:divBdr>
    </w:div>
    <w:div w:id="822894803">
      <w:bodyDiv w:val="1"/>
      <w:marLeft w:val="0"/>
      <w:marRight w:val="0"/>
      <w:marTop w:val="0"/>
      <w:marBottom w:val="0"/>
      <w:divBdr>
        <w:top w:val="none" w:sz="0" w:space="0" w:color="auto"/>
        <w:left w:val="none" w:sz="0" w:space="0" w:color="auto"/>
        <w:bottom w:val="none" w:sz="0" w:space="0" w:color="auto"/>
        <w:right w:val="none" w:sz="0" w:space="0" w:color="auto"/>
      </w:divBdr>
    </w:div>
    <w:div w:id="843856318">
      <w:bodyDiv w:val="1"/>
      <w:marLeft w:val="0"/>
      <w:marRight w:val="0"/>
      <w:marTop w:val="0"/>
      <w:marBottom w:val="0"/>
      <w:divBdr>
        <w:top w:val="none" w:sz="0" w:space="0" w:color="auto"/>
        <w:left w:val="none" w:sz="0" w:space="0" w:color="auto"/>
        <w:bottom w:val="none" w:sz="0" w:space="0" w:color="auto"/>
        <w:right w:val="none" w:sz="0" w:space="0" w:color="auto"/>
      </w:divBdr>
    </w:div>
    <w:div w:id="884374125">
      <w:bodyDiv w:val="1"/>
      <w:marLeft w:val="0"/>
      <w:marRight w:val="0"/>
      <w:marTop w:val="0"/>
      <w:marBottom w:val="0"/>
      <w:divBdr>
        <w:top w:val="none" w:sz="0" w:space="0" w:color="auto"/>
        <w:left w:val="none" w:sz="0" w:space="0" w:color="auto"/>
        <w:bottom w:val="none" w:sz="0" w:space="0" w:color="auto"/>
        <w:right w:val="none" w:sz="0" w:space="0" w:color="auto"/>
      </w:divBdr>
      <w:divsChild>
        <w:div w:id="1595092016">
          <w:marLeft w:val="0"/>
          <w:marRight w:val="0"/>
          <w:marTop w:val="0"/>
          <w:marBottom w:val="0"/>
          <w:divBdr>
            <w:top w:val="none" w:sz="0" w:space="0" w:color="auto"/>
            <w:left w:val="none" w:sz="0" w:space="0" w:color="auto"/>
            <w:bottom w:val="none" w:sz="0" w:space="0" w:color="auto"/>
            <w:right w:val="none" w:sz="0" w:space="0" w:color="auto"/>
          </w:divBdr>
          <w:divsChild>
            <w:div w:id="1239169000">
              <w:marLeft w:val="0"/>
              <w:marRight w:val="0"/>
              <w:marTop w:val="0"/>
              <w:marBottom w:val="0"/>
              <w:divBdr>
                <w:top w:val="none" w:sz="0" w:space="0" w:color="auto"/>
                <w:left w:val="none" w:sz="0" w:space="0" w:color="auto"/>
                <w:bottom w:val="none" w:sz="0" w:space="0" w:color="auto"/>
                <w:right w:val="none" w:sz="0" w:space="0" w:color="auto"/>
              </w:divBdr>
              <w:divsChild>
                <w:div w:id="173731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7832211">
      <w:bodyDiv w:val="1"/>
      <w:marLeft w:val="0"/>
      <w:marRight w:val="0"/>
      <w:marTop w:val="0"/>
      <w:marBottom w:val="0"/>
      <w:divBdr>
        <w:top w:val="none" w:sz="0" w:space="0" w:color="auto"/>
        <w:left w:val="none" w:sz="0" w:space="0" w:color="auto"/>
        <w:bottom w:val="none" w:sz="0" w:space="0" w:color="auto"/>
        <w:right w:val="none" w:sz="0" w:space="0" w:color="auto"/>
      </w:divBdr>
    </w:div>
    <w:div w:id="928588458">
      <w:bodyDiv w:val="1"/>
      <w:marLeft w:val="0"/>
      <w:marRight w:val="0"/>
      <w:marTop w:val="0"/>
      <w:marBottom w:val="0"/>
      <w:divBdr>
        <w:top w:val="none" w:sz="0" w:space="0" w:color="auto"/>
        <w:left w:val="none" w:sz="0" w:space="0" w:color="auto"/>
        <w:bottom w:val="none" w:sz="0" w:space="0" w:color="auto"/>
        <w:right w:val="none" w:sz="0" w:space="0" w:color="auto"/>
      </w:divBdr>
    </w:div>
    <w:div w:id="932973912">
      <w:bodyDiv w:val="1"/>
      <w:marLeft w:val="0"/>
      <w:marRight w:val="0"/>
      <w:marTop w:val="0"/>
      <w:marBottom w:val="0"/>
      <w:divBdr>
        <w:top w:val="none" w:sz="0" w:space="0" w:color="auto"/>
        <w:left w:val="none" w:sz="0" w:space="0" w:color="auto"/>
        <w:bottom w:val="none" w:sz="0" w:space="0" w:color="auto"/>
        <w:right w:val="none" w:sz="0" w:space="0" w:color="auto"/>
      </w:divBdr>
    </w:div>
    <w:div w:id="970942150">
      <w:bodyDiv w:val="1"/>
      <w:marLeft w:val="0"/>
      <w:marRight w:val="0"/>
      <w:marTop w:val="0"/>
      <w:marBottom w:val="0"/>
      <w:divBdr>
        <w:top w:val="none" w:sz="0" w:space="0" w:color="auto"/>
        <w:left w:val="none" w:sz="0" w:space="0" w:color="auto"/>
        <w:bottom w:val="none" w:sz="0" w:space="0" w:color="auto"/>
        <w:right w:val="none" w:sz="0" w:space="0" w:color="auto"/>
      </w:divBdr>
    </w:div>
    <w:div w:id="999193225">
      <w:bodyDiv w:val="1"/>
      <w:marLeft w:val="0"/>
      <w:marRight w:val="0"/>
      <w:marTop w:val="0"/>
      <w:marBottom w:val="0"/>
      <w:divBdr>
        <w:top w:val="none" w:sz="0" w:space="0" w:color="auto"/>
        <w:left w:val="none" w:sz="0" w:space="0" w:color="auto"/>
        <w:bottom w:val="none" w:sz="0" w:space="0" w:color="auto"/>
        <w:right w:val="none" w:sz="0" w:space="0" w:color="auto"/>
      </w:divBdr>
    </w:div>
    <w:div w:id="1025600427">
      <w:bodyDiv w:val="1"/>
      <w:marLeft w:val="0"/>
      <w:marRight w:val="0"/>
      <w:marTop w:val="0"/>
      <w:marBottom w:val="0"/>
      <w:divBdr>
        <w:top w:val="none" w:sz="0" w:space="0" w:color="auto"/>
        <w:left w:val="none" w:sz="0" w:space="0" w:color="auto"/>
        <w:bottom w:val="none" w:sz="0" w:space="0" w:color="auto"/>
        <w:right w:val="none" w:sz="0" w:space="0" w:color="auto"/>
      </w:divBdr>
    </w:div>
    <w:div w:id="1086147256">
      <w:bodyDiv w:val="1"/>
      <w:marLeft w:val="0"/>
      <w:marRight w:val="0"/>
      <w:marTop w:val="0"/>
      <w:marBottom w:val="0"/>
      <w:divBdr>
        <w:top w:val="none" w:sz="0" w:space="0" w:color="auto"/>
        <w:left w:val="none" w:sz="0" w:space="0" w:color="auto"/>
        <w:bottom w:val="none" w:sz="0" w:space="0" w:color="auto"/>
        <w:right w:val="none" w:sz="0" w:space="0" w:color="auto"/>
      </w:divBdr>
    </w:div>
    <w:div w:id="1090925787">
      <w:bodyDiv w:val="1"/>
      <w:marLeft w:val="0"/>
      <w:marRight w:val="0"/>
      <w:marTop w:val="0"/>
      <w:marBottom w:val="0"/>
      <w:divBdr>
        <w:top w:val="none" w:sz="0" w:space="0" w:color="auto"/>
        <w:left w:val="none" w:sz="0" w:space="0" w:color="auto"/>
        <w:bottom w:val="none" w:sz="0" w:space="0" w:color="auto"/>
        <w:right w:val="none" w:sz="0" w:space="0" w:color="auto"/>
      </w:divBdr>
    </w:div>
    <w:div w:id="1126237474">
      <w:bodyDiv w:val="1"/>
      <w:marLeft w:val="0"/>
      <w:marRight w:val="0"/>
      <w:marTop w:val="0"/>
      <w:marBottom w:val="0"/>
      <w:divBdr>
        <w:top w:val="none" w:sz="0" w:space="0" w:color="auto"/>
        <w:left w:val="none" w:sz="0" w:space="0" w:color="auto"/>
        <w:bottom w:val="none" w:sz="0" w:space="0" w:color="auto"/>
        <w:right w:val="none" w:sz="0" w:space="0" w:color="auto"/>
      </w:divBdr>
    </w:div>
    <w:div w:id="1186864015">
      <w:bodyDiv w:val="1"/>
      <w:marLeft w:val="0"/>
      <w:marRight w:val="0"/>
      <w:marTop w:val="0"/>
      <w:marBottom w:val="0"/>
      <w:divBdr>
        <w:top w:val="none" w:sz="0" w:space="0" w:color="auto"/>
        <w:left w:val="none" w:sz="0" w:space="0" w:color="auto"/>
        <w:bottom w:val="none" w:sz="0" w:space="0" w:color="auto"/>
        <w:right w:val="none" w:sz="0" w:space="0" w:color="auto"/>
      </w:divBdr>
    </w:div>
    <w:div w:id="1274021096">
      <w:bodyDiv w:val="1"/>
      <w:marLeft w:val="0"/>
      <w:marRight w:val="0"/>
      <w:marTop w:val="0"/>
      <w:marBottom w:val="0"/>
      <w:divBdr>
        <w:top w:val="none" w:sz="0" w:space="0" w:color="auto"/>
        <w:left w:val="none" w:sz="0" w:space="0" w:color="auto"/>
        <w:bottom w:val="none" w:sz="0" w:space="0" w:color="auto"/>
        <w:right w:val="none" w:sz="0" w:space="0" w:color="auto"/>
      </w:divBdr>
    </w:div>
    <w:div w:id="1341397906">
      <w:bodyDiv w:val="1"/>
      <w:marLeft w:val="0"/>
      <w:marRight w:val="0"/>
      <w:marTop w:val="0"/>
      <w:marBottom w:val="0"/>
      <w:divBdr>
        <w:top w:val="none" w:sz="0" w:space="0" w:color="auto"/>
        <w:left w:val="none" w:sz="0" w:space="0" w:color="auto"/>
        <w:bottom w:val="none" w:sz="0" w:space="0" w:color="auto"/>
        <w:right w:val="none" w:sz="0" w:space="0" w:color="auto"/>
      </w:divBdr>
    </w:div>
    <w:div w:id="1425374680">
      <w:bodyDiv w:val="1"/>
      <w:marLeft w:val="0"/>
      <w:marRight w:val="0"/>
      <w:marTop w:val="0"/>
      <w:marBottom w:val="0"/>
      <w:divBdr>
        <w:top w:val="none" w:sz="0" w:space="0" w:color="auto"/>
        <w:left w:val="none" w:sz="0" w:space="0" w:color="auto"/>
        <w:bottom w:val="none" w:sz="0" w:space="0" w:color="auto"/>
        <w:right w:val="none" w:sz="0" w:space="0" w:color="auto"/>
      </w:divBdr>
      <w:divsChild>
        <w:div w:id="1856769360">
          <w:marLeft w:val="0"/>
          <w:marRight w:val="0"/>
          <w:marTop w:val="0"/>
          <w:marBottom w:val="0"/>
          <w:divBdr>
            <w:top w:val="none" w:sz="0" w:space="0" w:color="auto"/>
            <w:left w:val="none" w:sz="0" w:space="0" w:color="auto"/>
            <w:bottom w:val="none" w:sz="0" w:space="0" w:color="auto"/>
            <w:right w:val="none" w:sz="0" w:space="0" w:color="auto"/>
          </w:divBdr>
          <w:divsChild>
            <w:div w:id="1958828361">
              <w:marLeft w:val="0"/>
              <w:marRight w:val="0"/>
              <w:marTop w:val="0"/>
              <w:marBottom w:val="0"/>
              <w:divBdr>
                <w:top w:val="none" w:sz="0" w:space="0" w:color="auto"/>
                <w:left w:val="none" w:sz="0" w:space="0" w:color="auto"/>
                <w:bottom w:val="none" w:sz="0" w:space="0" w:color="auto"/>
                <w:right w:val="none" w:sz="0" w:space="0" w:color="auto"/>
              </w:divBdr>
              <w:divsChild>
                <w:div w:id="74056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027758">
      <w:bodyDiv w:val="1"/>
      <w:marLeft w:val="0"/>
      <w:marRight w:val="0"/>
      <w:marTop w:val="0"/>
      <w:marBottom w:val="0"/>
      <w:divBdr>
        <w:top w:val="none" w:sz="0" w:space="0" w:color="auto"/>
        <w:left w:val="none" w:sz="0" w:space="0" w:color="auto"/>
        <w:bottom w:val="none" w:sz="0" w:space="0" w:color="auto"/>
        <w:right w:val="none" w:sz="0" w:space="0" w:color="auto"/>
      </w:divBdr>
    </w:div>
    <w:div w:id="1476532272">
      <w:bodyDiv w:val="1"/>
      <w:marLeft w:val="0"/>
      <w:marRight w:val="0"/>
      <w:marTop w:val="0"/>
      <w:marBottom w:val="0"/>
      <w:divBdr>
        <w:top w:val="none" w:sz="0" w:space="0" w:color="auto"/>
        <w:left w:val="none" w:sz="0" w:space="0" w:color="auto"/>
        <w:bottom w:val="none" w:sz="0" w:space="0" w:color="auto"/>
        <w:right w:val="none" w:sz="0" w:space="0" w:color="auto"/>
      </w:divBdr>
    </w:div>
    <w:div w:id="1525359337">
      <w:bodyDiv w:val="1"/>
      <w:marLeft w:val="0"/>
      <w:marRight w:val="0"/>
      <w:marTop w:val="0"/>
      <w:marBottom w:val="0"/>
      <w:divBdr>
        <w:top w:val="none" w:sz="0" w:space="0" w:color="auto"/>
        <w:left w:val="none" w:sz="0" w:space="0" w:color="auto"/>
        <w:bottom w:val="none" w:sz="0" w:space="0" w:color="auto"/>
        <w:right w:val="none" w:sz="0" w:space="0" w:color="auto"/>
      </w:divBdr>
      <w:divsChild>
        <w:div w:id="1513379665">
          <w:marLeft w:val="0"/>
          <w:marRight w:val="0"/>
          <w:marTop w:val="0"/>
          <w:marBottom w:val="0"/>
          <w:divBdr>
            <w:top w:val="none" w:sz="0" w:space="0" w:color="auto"/>
            <w:left w:val="none" w:sz="0" w:space="0" w:color="auto"/>
            <w:bottom w:val="none" w:sz="0" w:space="0" w:color="auto"/>
            <w:right w:val="none" w:sz="0" w:space="0" w:color="auto"/>
          </w:divBdr>
          <w:divsChild>
            <w:div w:id="1077018990">
              <w:marLeft w:val="0"/>
              <w:marRight w:val="0"/>
              <w:marTop w:val="0"/>
              <w:marBottom w:val="0"/>
              <w:divBdr>
                <w:top w:val="none" w:sz="0" w:space="0" w:color="auto"/>
                <w:left w:val="none" w:sz="0" w:space="0" w:color="auto"/>
                <w:bottom w:val="none" w:sz="0" w:space="0" w:color="auto"/>
                <w:right w:val="none" w:sz="0" w:space="0" w:color="auto"/>
              </w:divBdr>
              <w:divsChild>
                <w:div w:id="1418164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921704">
      <w:bodyDiv w:val="1"/>
      <w:marLeft w:val="0"/>
      <w:marRight w:val="0"/>
      <w:marTop w:val="0"/>
      <w:marBottom w:val="0"/>
      <w:divBdr>
        <w:top w:val="none" w:sz="0" w:space="0" w:color="auto"/>
        <w:left w:val="none" w:sz="0" w:space="0" w:color="auto"/>
        <w:bottom w:val="none" w:sz="0" w:space="0" w:color="auto"/>
        <w:right w:val="none" w:sz="0" w:space="0" w:color="auto"/>
      </w:divBdr>
      <w:divsChild>
        <w:div w:id="942568649">
          <w:marLeft w:val="0"/>
          <w:marRight w:val="0"/>
          <w:marTop w:val="0"/>
          <w:marBottom w:val="0"/>
          <w:divBdr>
            <w:top w:val="none" w:sz="0" w:space="0" w:color="auto"/>
            <w:left w:val="none" w:sz="0" w:space="0" w:color="auto"/>
            <w:bottom w:val="none" w:sz="0" w:space="0" w:color="auto"/>
            <w:right w:val="none" w:sz="0" w:space="0" w:color="auto"/>
          </w:divBdr>
        </w:div>
        <w:div w:id="1627735623">
          <w:marLeft w:val="0"/>
          <w:marRight w:val="0"/>
          <w:marTop w:val="0"/>
          <w:marBottom w:val="0"/>
          <w:divBdr>
            <w:top w:val="none" w:sz="0" w:space="0" w:color="auto"/>
            <w:left w:val="none" w:sz="0" w:space="0" w:color="auto"/>
            <w:bottom w:val="none" w:sz="0" w:space="0" w:color="auto"/>
            <w:right w:val="none" w:sz="0" w:space="0" w:color="auto"/>
          </w:divBdr>
        </w:div>
        <w:div w:id="1008869620">
          <w:marLeft w:val="0"/>
          <w:marRight w:val="0"/>
          <w:marTop w:val="0"/>
          <w:marBottom w:val="0"/>
          <w:divBdr>
            <w:top w:val="none" w:sz="0" w:space="0" w:color="auto"/>
            <w:left w:val="none" w:sz="0" w:space="0" w:color="auto"/>
            <w:bottom w:val="none" w:sz="0" w:space="0" w:color="auto"/>
            <w:right w:val="none" w:sz="0" w:space="0" w:color="auto"/>
          </w:divBdr>
        </w:div>
        <w:div w:id="1065684087">
          <w:marLeft w:val="0"/>
          <w:marRight w:val="0"/>
          <w:marTop w:val="0"/>
          <w:marBottom w:val="0"/>
          <w:divBdr>
            <w:top w:val="none" w:sz="0" w:space="0" w:color="auto"/>
            <w:left w:val="none" w:sz="0" w:space="0" w:color="auto"/>
            <w:bottom w:val="none" w:sz="0" w:space="0" w:color="auto"/>
            <w:right w:val="none" w:sz="0" w:space="0" w:color="auto"/>
          </w:divBdr>
        </w:div>
        <w:div w:id="794055774">
          <w:marLeft w:val="0"/>
          <w:marRight w:val="0"/>
          <w:marTop w:val="0"/>
          <w:marBottom w:val="0"/>
          <w:divBdr>
            <w:top w:val="none" w:sz="0" w:space="0" w:color="auto"/>
            <w:left w:val="none" w:sz="0" w:space="0" w:color="auto"/>
            <w:bottom w:val="none" w:sz="0" w:space="0" w:color="auto"/>
            <w:right w:val="none" w:sz="0" w:space="0" w:color="auto"/>
          </w:divBdr>
        </w:div>
        <w:div w:id="1281373080">
          <w:marLeft w:val="0"/>
          <w:marRight w:val="0"/>
          <w:marTop w:val="0"/>
          <w:marBottom w:val="0"/>
          <w:divBdr>
            <w:top w:val="none" w:sz="0" w:space="0" w:color="auto"/>
            <w:left w:val="none" w:sz="0" w:space="0" w:color="auto"/>
            <w:bottom w:val="none" w:sz="0" w:space="0" w:color="auto"/>
            <w:right w:val="none" w:sz="0" w:space="0" w:color="auto"/>
          </w:divBdr>
        </w:div>
        <w:div w:id="1446121231">
          <w:marLeft w:val="0"/>
          <w:marRight w:val="0"/>
          <w:marTop w:val="0"/>
          <w:marBottom w:val="0"/>
          <w:divBdr>
            <w:top w:val="none" w:sz="0" w:space="0" w:color="auto"/>
            <w:left w:val="none" w:sz="0" w:space="0" w:color="auto"/>
            <w:bottom w:val="none" w:sz="0" w:space="0" w:color="auto"/>
            <w:right w:val="none" w:sz="0" w:space="0" w:color="auto"/>
          </w:divBdr>
        </w:div>
        <w:div w:id="824324776">
          <w:marLeft w:val="0"/>
          <w:marRight w:val="0"/>
          <w:marTop w:val="0"/>
          <w:marBottom w:val="0"/>
          <w:divBdr>
            <w:top w:val="none" w:sz="0" w:space="0" w:color="auto"/>
            <w:left w:val="none" w:sz="0" w:space="0" w:color="auto"/>
            <w:bottom w:val="none" w:sz="0" w:space="0" w:color="auto"/>
            <w:right w:val="none" w:sz="0" w:space="0" w:color="auto"/>
          </w:divBdr>
        </w:div>
      </w:divsChild>
    </w:div>
    <w:div w:id="1540700958">
      <w:bodyDiv w:val="1"/>
      <w:marLeft w:val="0"/>
      <w:marRight w:val="0"/>
      <w:marTop w:val="0"/>
      <w:marBottom w:val="0"/>
      <w:divBdr>
        <w:top w:val="none" w:sz="0" w:space="0" w:color="auto"/>
        <w:left w:val="none" w:sz="0" w:space="0" w:color="auto"/>
        <w:bottom w:val="none" w:sz="0" w:space="0" w:color="auto"/>
        <w:right w:val="none" w:sz="0" w:space="0" w:color="auto"/>
      </w:divBdr>
      <w:divsChild>
        <w:div w:id="419064581">
          <w:marLeft w:val="0"/>
          <w:marRight w:val="0"/>
          <w:marTop w:val="0"/>
          <w:marBottom w:val="0"/>
          <w:divBdr>
            <w:top w:val="none" w:sz="0" w:space="0" w:color="auto"/>
            <w:left w:val="none" w:sz="0" w:space="0" w:color="auto"/>
            <w:bottom w:val="none" w:sz="0" w:space="0" w:color="auto"/>
            <w:right w:val="none" w:sz="0" w:space="0" w:color="auto"/>
          </w:divBdr>
        </w:div>
        <w:div w:id="1134299032">
          <w:marLeft w:val="0"/>
          <w:marRight w:val="0"/>
          <w:marTop w:val="0"/>
          <w:marBottom w:val="0"/>
          <w:divBdr>
            <w:top w:val="none" w:sz="0" w:space="0" w:color="auto"/>
            <w:left w:val="none" w:sz="0" w:space="0" w:color="auto"/>
            <w:bottom w:val="none" w:sz="0" w:space="0" w:color="auto"/>
            <w:right w:val="none" w:sz="0" w:space="0" w:color="auto"/>
          </w:divBdr>
        </w:div>
        <w:div w:id="1336033045">
          <w:marLeft w:val="0"/>
          <w:marRight w:val="0"/>
          <w:marTop w:val="0"/>
          <w:marBottom w:val="0"/>
          <w:divBdr>
            <w:top w:val="none" w:sz="0" w:space="0" w:color="auto"/>
            <w:left w:val="none" w:sz="0" w:space="0" w:color="auto"/>
            <w:bottom w:val="none" w:sz="0" w:space="0" w:color="auto"/>
            <w:right w:val="none" w:sz="0" w:space="0" w:color="auto"/>
          </w:divBdr>
        </w:div>
        <w:div w:id="577132033">
          <w:marLeft w:val="0"/>
          <w:marRight w:val="0"/>
          <w:marTop w:val="0"/>
          <w:marBottom w:val="0"/>
          <w:divBdr>
            <w:top w:val="none" w:sz="0" w:space="0" w:color="auto"/>
            <w:left w:val="none" w:sz="0" w:space="0" w:color="auto"/>
            <w:bottom w:val="none" w:sz="0" w:space="0" w:color="auto"/>
            <w:right w:val="none" w:sz="0" w:space="0" w:color="auto"/>
          </w:divBdr>
        </w:div>
        <w:div w:id="337082732">
          <w:marLeft w:val="0"/>
          <w:marRight w:val="0"/>
          <w:marTop w:val="0"/>
          <w:marBottom w:val="0"/>
          <w:divBdr>
            <w:top w:val="none" w:sz="0" w:space="0" w:color="auto"/>
            <w:left w:val="none" w:sz="0" w:space="0" w:color="auto"/>
            <w:bottom w:val="none" w:sz="0" w:space="0" w:color="auto"/>
            <w:right w:val="none" w:sz="0" w:space="0" w:color="auto"/>
          </w:divBdr>
        </w:div>
      </w:divsChild>
    </w:div>
    <w:div w:id="1568108716">
      <w:bodyDiv w:val="1"/>
      <w:marLeft w:val="0"/>
      <w:marRight w:val="0"/>
      <w:marTop w:val="0"/>
      <w:marBottom w:val="0"/>
      <w:divBdr>
        <w:top w:val="none" w:sz="0" w:space="0" w:color="auto"/>
        <w:left w:val="none" w:sz="0" w:space="0" w:color="auto"/>
        <w:bottom w:val="none" w:sz="0" w:space="0" w:color="auto"/>
        <w:right w:val="none" w:sz="0" w:space="0" w:color="auto"/>
      </w:divBdr>
      <w:divsChild>
        <w:div w:id="38940561">
          <w:marLeft w:val="0"/>
          <w:marRight w:val="0"/>
          <w:marTop w:val="0"/>
          <w:marBottom w:val="0"/>
          <w:divBdr>
            <w:top w:val="none" w:sz="0" w:space="0" w:color="auto"/>
            <w:left w:val="none" w:sz="0" w:space="0" w:color="auto"/>
            <w:bottom w:val="none" w:sz="0" w:space="0" w:color="auto"/>
            <w:right w:val="none" w:sz="0" w:space="0" w:color="auto"/>
          </w:divBdr>
        </w:div>
        <w:div w:id="1548444758">
          <w:marLeft w:val="0"/>
          <w:marRight w:val="0"/>
          <w:marTop w:val="0"/>
          <w:marBottom w:val="0"/>
          <w:divBdr>
            <w:top w:val="none" w:sz="0" w:space="0" w:color="auto"/>
            <w:left w:val="none" w:sz="0" w:space="0" w:color="auto"/>
            <w:bottom w:val="none" w:sz="0" w:space="0" w:color="auto"/>
            <w:right w:val="none" w:sz="0" w:space="0" w:color="auto"/>
          </w:divBdr>
        </w:div>
        <w:div w:id="1769504026">
          <w:marLeft w:val="0"/>
          <w:marRight w:val="0"/>
          <w:marTop w:val="0"/>
          <w:marBottom w:val="0"/>
          <w:divBdr>
            <w:top w:val="none" w:sz="0" w:space="0" w:color="auto"/>
            <w:left w:val="none" w:sz="0" w:space="0" w:color="auto"/>
            <w:bottom w:val="none" w:sz="0" w:space="0" w:color="auto"/>
            <w:right w:val="none" w:sz="0" w:space="0" w:color="auto"/>
          </w:divBdr>
        </w:div>
        <w:div w:id="81070333">
          <w:marLeft w:val="0"/>
          <w:marRight w:val="0"/>
          <w:marTop w:val="0"/>
          <w:marBottom w:val="0"/>
          <w:divBdr>
            <w:top w:val="none" w:sz="0" w:space="0" w:color="auto"/>
            <w:left w:val="none" w:sz="0" w:space="0" w:color="auto"/>
            <w:bottom w:val="none" w:sz="0" w:space="0" w:color="auto"/>
            <w:right w:val="none" w:sz="0" w:space="0" w:color="auto"/>
          </w:divBdr>
        </w:div>
        <w:div w:id="1550149146">
          <w:marLeft w:val="0"/>
          <w:marRight w:val="0"/>
          <w:marTop w:val="0"/>
          <w:marBottom w:val="0"/>
          <w:divBdr>
            <w:top w:val="none" w:sz="0" w:space="0" w:color="auto"/>
            <w:left w:val="none" w:sz="0" w:space="0" w:color="auto"/>
            <w:bottom w:val="none" w:sz="0" w:space="0" w:color="auto"/>
            <w:right w:val="none" w:sz="0" w:space="0" w:color="auto"/>
          </w:divBdr>
        </w:div>
        <w:div w:id="544635939">
          <w:marLeft w:val="0"/>
          <w:marRight w:val="0"/>
          <w:marTop w:val="0"/>
          <w:marBottom w:val="0"/>
          <w:divBdr>
            <w:top w:val="none" w:sz="0" w:space="0" w:color="auto"/>
            <w:left w:val="none" w:sz="0" w:space="0" w:color="auto"/>
            <w:bottom w:val="none" w:sz="0" w:space="0" w:color="auto"/>
            <w:right w:val="none" w:sz="0" w:space="0" w:color="auto"/>
          </w:divBdr>
        </w:div>
        <w:div w:id="1910459801">
          <w:marLeft w:val="0"/>
          <w:marRight w:val="0"/>
          <w:marTop w:val="0"/>
          <w:marBottom w:val="0"/>
          <w:divBdr>
            <w:top w:val="none" w:sz="0" w:space="0" w:color="auto"/>
            <w:left w:val="none" w:sz="0" w:space="0" w:color="auto"/>
            <w:bottom w:val="none" w:sz="0" w:space="0" w:color="auto"/>
            <w:right w:val="none" w:sz="0" w:space="0" w:color="auto"/>
          </w:divBdr>
        </w:div>
        <w:div w:id="185363496">
          <w:marLeft w:val="0"/>
          <w:marRight w:val="0"/>
          <w:marTop w:val="0"/>
          <w:marBottom w:val="0"/>
          <w:divBdr>
            <w:top w:val="none" w:sz="0" w:space="0" w:color="auto"/>
            <w:left w:val="none" w:sz="0" w:space="0" w:color="auto"/>
            <w:bottom w:val="none" w:sz="0" w:space="0" w:color="auto"/>
            <w:right w:val="none" w:sz="0" w:space="0" w:color="auto"/>
          </w:divBdr>
        </w:div>
      </w:divsChild>
    </w:div>
    <w:div w:id="1596279811">
      <w:bodyDiv w:val="1"/>
      <w:marLeft w:val="0"/>
      <w:marRight w:val="0"/>
      <w:marTop w:val="0"/>
      <w:marBottom w:val="0"/>
      <w:divBdr>
        <w:top w:val="none" w:sz="0" w:space="0" w:color="auto"/>
        <w:left w:val="none" w:sz="0" w:space="0" w:color="auto"/>
        <w:bottom w:val="none" w:sz="0" w:space="0" w:color="auto"/>
        <w:right w:val="none" w:sz="0" w:space="0" w:color="auto"/>
      </w:divBdr>
    </w:div>
    <w:div w:id="1657226189">
      <w:bodyDiv w:val="1"/>
      <w:marLeft w:val="0"/>
      <w:marRight w:val="0"/>
      <w:marTop w:val="0"/>
      <w:marBottom w:val="0"/>
      <w:divBdr>
        <w:top w:val="none" w:sz="0" w:space="0" w:color="auto"/>
        <w:left w:val="none" w:sz="0" w:space="0" w:color="auto"/>
        <w:bottom w:val="none" w:sz="0" w:space="0" w:color="auto"/>
        <w:right w:val="none" w:sz="0" w:space="0" w:color="auto"/>
      </w:divBdr>
    </w:div>
    <w:div w:id="1659111502">
      <w:bodyDiv w:val="1"/>
      <w:marLeft w:val="0"/>
      <w:marRight w:val="0"/>
      <w:marTop w:val="0"/>
      <w:marBottom w:val="0"/>
      <w:divBdr>
        <w:top w:val="none" w:sz="0" w:space="0" w:color="auto"/>
        <w:left w:val="none" w:sz="0" w:space="0" w:color="auto"/>
        <w:bottom w:val="none" w:sz="0" w:space="0" w:color="auto"/>
        <w:right w:val="none" w:sz="0" w:space="0" w:color="auto"/>
      </w:divBdr>
      <w:divsChild>
        <w:div w:id="1281297594">
          <w:marLeft w:val="0"/>
          <w:marRight w:val="0"/>
          <w:marTop w:val="0"/>
          <w:marBottom w:val="0"/>
          <w:divBdr>
            <w:top w:val="none" w:sz="0" w:space="0" w:color="auto"/>
            <w:left w:val="none" w:sz="0" w:space="0" w:color="auto"/>
            <w:bottom w:val="none" w:sz="0" w:space="0" w:color="auto"/>
            <w:right w:val="none" w:sz="0" w:space="0" w:color="auto"/>
          </w:divBdr>
        </w:div>
        <w:div w:id="1190676839">
          <w:marLeft w:val="0"/>
          <w:marRight w:val="0"/>
          <w:marTop w:val="0"/>
          <w:marBottom w:val="0"/>
          <w:divBdr>
            <w:top w:val="none" w:sz="0" w:space="0" w:color="auto"/>
            <w:left w:val="none" w:sz="0" w:space="0" w:color="auto"/>
            <w:bottom w:val="none" w:sz="0" w:space="0" w:color="auto"/>
            <w:right w:val="none" w:sz="0" w:space="0" w:color="auto"/>
          </w:divBdr>
        </w:div>
        <w:div w:id="211044149">
          <w:marLeft w:val="0"/>
          <w:marRight w:val="0"/>
          <w:marTop w:val="0"/>
          <w:marBottom w:val="0"/>
          <w:divBdr>
            <w:top w:val="none" w:sz="0" w:space="0" w:color="auto"/>
            <w:left w:val="none" w:sz="0" w:space="0" w:color="auto"/>
            <w:bottom w:val="none" w:sz="0" w:space="0" w:color="auto"/>
            <w:right w:val="none" w:sz="0" w:space="0" w:color="auto"/>
          </w:divBdr>
        </w:div>
      </w:divsChild>
    </w:div>
    <w:div w:id="1708217642">
      <w:bodyDiv w:val="1"/>
      <w:marLeft w:val="0"/>
      <w:marRight w:val="0"/>
      <w:marTop w:val="0"/>
      <w:marBottom w:val="0"/>
      <w:divBdr>
        <w:top w:val="none" w:sz="0" w:space="0" w:color="auto"/>
        <w:left w:val="none" w:sz="0" w:space="0" w:color="auto"/>
        <w:bottom w:val="none" w:sz="0" w:space="0" w:color="auto"/>
        <w:right w:val="none" w:sz="0" w:space="0" w:color="auto"/>
      </w:divBdr>
      <w:divsChild>
        <w:div w:id="1994916908">
          <w:marLeft w:val="0"/>
          <w:marRight w:val="0"/>
          <w:marTop w:val="0"/>
          <w:marBottom w:val="0"/>
          <w:divBdr>
            <w:top w:val="none" w:sz="0" w:space="0" w:color="auto"/>
            <w:left w:val="none" w:sz="0" w:space="0" w:color="auto"/>
            <w:bottom w:val="none" w:sz="0" w:space="0" w:color="auto"/>
            <w:right w:val="none" w:sz="0" w:space="0" w:color="auto"/>
          </w:divBdr>
        </w:div>
        <w:div w:id="223373299">
          <w:marLeft w:val="0"/>
          <w:marRight w:val="0"/>
          <w:marTop w:val="0"/>
          <w:marBottom w:val="0"/>
          <w:divBdr>
            <w:top w:val="none" w:sz="0" w:space="0" w:color="auto"/>
            <w:left w:val="none" w:sz="0" w:space="0" w:color="auto"/>
            <w:bottom w:val="none" w:sz="0" w:space="0" w:color="auto"/>
            <w:right w:val="none" w:sz="0" w:space="0" w:color="auto"/>
          </w:divBdr>
        </w:div>
        <w:div w:id="68234181">
          <w:marLeft w:val="0"/>
          <w:marRight w:val="0"/>
          <w:marTop w:val="0"/>
          <w:marBottom w:val="0"/>
          <w:divBdr>
            <w:top w:val="none" w:sz="0" w:space="0" w:color="auto"/>
            <w:left w:val="none" w:sz="0" w:space="0" w:color="auto"/>
            <w:bottom w:val="none" w:sz="0" w:space="0" w:color="auto"/>
            <w:right w:val="none" w:sz="0" w:space="0" w:color="auto"/>
          </w:divBdr>
        </w:div>
        <w:div w:id="690375454">
          <w:marLeft w:val="0"/>
          <w:marRight w:val="0"/>
          <w:marTop w:val="0"/>
          <w:marBottom w:val="0"/>
          <w:divBdr>
            <w:top w:val="none" w:sz="0" w:space="0" w:color="auto"/>
            <w:left w:val="none" w:sz="0" w:space="0" w:color="auto"/>
            <w:bottom w:val="none" w:sz="0" w:space="0" w:color="auto"/>
            <w:right w:val="none" w:sz="0" w:space="0" w:color="auto"/>
          </w:divBdr>
        </w:div>
        <w:div w:id="1589659799">
          <w:marLeft w:val="0"/>
          <w:marRight w:val="0"/>
          <w:marTop w:val="0"/>
          <w:marBottom w:val="0"/>
          <w:divBdr>
            <w:top w:val="none" w:sz="0" w:space="0" w:color="auto"/>
            <w:left w:val="none" w:sz="0" w:space="0" w:color="auto"/>
            <w:bottom w:val="none" w:sz="0" w:space="0" w:color="auto"/>
            <w:right w:val="none" w:sz="0" w:space="0" w:color="auto"/>
          </w:divBdr>
        </w:div>
      </w:divsChild>
    </w:div>
    <w:div w:id="1757943537">
      <w:bodyDiv w:val="1"/>
      <w:marLeft w:val="0"/>
      <w:marRight w:val="0"/>
      <w:marTop w:val="0"/>
      <w:marBottom w:val="0"/>
      <w:divBdr>
        <w:top w:val="none" w:sz="0" w:space="0" w:color="auto"/>
        <w:left w:val="none" w:sz="0" w:space="0" w:color="auto"/>
        <w:bottom w:val="none" w:sz="0" w:space="0" w:color="auto"/>
        <w:right w:val="none" w:sz="0" w:space="0" w:color="auto"/>
      </w:divBdr>
    </w:div>
    <w:div w:id="1789855201">
      <w:bodyDiv w:val="1"/>
      <w:marLeft w:val="0"/>
      <w:marRight w:val="0"/>
      <w:marTop w:val="0"/>
      <w:marBottom w:val="0"/>
      <w:divBdr>
        <w:top w:val="none" w:sz="0" w:space="0" w:color="auto"/>
        <w:left w:val="none" w:sz="0" w:space="0" w:color="auto"/>
        <w:bottom w:val="none" w:sz="0" w:space="0" w:color="auto"/>
        <w:right w:val="none" w:sz="0" w:space="0" w:color="auto"/>
      </w:divBdr>
      <w:divsChild>
        <w:div w:id="1165362243">
          <w:marLeft w:val="0"/>
          <w:marRight w:val="0"/>
          <w:marTop w:val="0"/>
          <w:marBottom w:val="0"/>
          <w:divBdr>
            <w:top w:val="none" w:sz="0" w:space="0" w:color="auto"/>
            <w:left w:val="none" w:sz="0" w:space="0" w:color="auto"/>
            <w:bottom w:val="none" w:sz="0" w:space="0" w:color="auto"/>
            <w:right w:val="none" w:sz="0" w:space="0" w:color="auto"/>
          </w:divBdr>
        </w:div>
        <w:div w:id="372193816">
          <w:marLeft w:val="0"/>
          <w:marRight w:val="0"/>
          <w:marTop w:val="0"/>
          <w:marBottom w:val="0"/>
          <w:divBdr>
            <w:top w:val="none" w:sz="0" w:space="0" w:color="auto"/>
            <w:left w:val="none" w:sz="0" w:space="0" w:color="auto"/>
            <w:bottom w:val="none" w:sz="0" w:space="0" w:color="auto"/>
            <w:right w:val="none" w:sz="0" w:space="0" w:color="auto"/>
          </w:divBdr>
        </w:div>
        <w:div w:id="1197309404">
          <w:marLeft w:val="0"/>
          <w:marRight w:val="0"/>
          <w:marTop w:val="0"/>
          <w:marBottom w:val="0"/>
          <w:divBdr>
            <w:top w:val="none" w:sz="0" w:space="0" w:color="auto"/>
            <w:left w:val="none" w:sz="0" w:space="0" w:color="auto"/>
            <w:bottom w:val="none" w:sz="0" w:space="0" w:color="auto"/>
            <w:right w:val="none" w:sz="0" w:space="0" w:color="auto"/>
          </w:divBdr>
        </w:div>
        <w:div w:id="402878091">
          <w:marLeft w:val="0"/>
          <w:marRight w:val="0"/>
          <w:marTop w:val="0"/>
          <w:marBottom w:val="0"/>
          <w:divBdr>
            <w:top w:val="none" w:sz="0" w:space="0" w:color="auto"/>
            <w:left w:val="none" w:sz="0" w:space="0" w:color="auto"/>
            <w:bottom w:val="none" w:sz="0" w:space="0" w:color="auto"/>
            <w:right w:val="none" w:sz="0" w:space="0" w:color="auto"/>
          </w:divBdr>
        </w:div>
        <w:div w:id="2009751895">
          <w:marLeft w:val="0"/>
          <w:marRight w:val="0"/>
          <w:marTop w:val="0"/>
          <w:marBottom w:val="0"/>
          <w:divBdr>
            <w:top w:val="none" w:sz="0" w:space="0" w:color="auto"/>
            <w:left w:val="none" w:sz="0" w:space="0" w:color="auto"/>
            <w:bottom w:val="none" w:sz="0" w:space="0" w:color="auto"/>
            <w:right w:val="none" w:sz="0" w:space="0" w:color="auto"/>
          </w:divBdr>
        </w:div>
        <w:div w:id="2085684243">
          <w:marLeft w:val="0"/>
          <w:marRight w:val="0"/>
          <w:marTop w:val="0"/>
          <w:marBottom w:val="0"/>
          <w:divBdr>
            <w:top w:val="none" w:sz="0" w:space="0" w:color="auto"/>
            <w:left w:val="none" w:sz="0" w:space="0" w:color="auto"/>
            <w:bottom w:val="none" w:sz="0" w:space="0" w:color="auto"/>
            <w:right w:val="none" w:sz="0" w:space="0" w:color="auto"/>
          </w:divBdr>
        </w:div>
        <w:div w:id="1167091235">
          <w:marLeft w:val="0"/>
          <w:marRight w:val="0"/>
          <w:marTop w:val="0"/>
          <w:marBottom w:val="0"/>
          <w:divBdr>
            <w:top w:val="none" w:sz="0" w:space="0" w:color="auto"/>
            <w:left w:val="none" w:sz="0" w:space="0" w:color="auto"/>
            <w:bottom w:val="none" w:sz="0" w:space="0" w:color="auto"/>
            <w:right w:val="none" w:sz="0" w:space="0" w:color="auto"/>
          </w:divBdr>
        </w:div>
      </w:divsChild>
    </w:div>
    <w:div w:id="1837112152">
      <w:bodyDiv w:val="1"/>
      <w:marLeft w:val="0"/>
      <w:marRight w:val="0"/>
      <w:marTop w:val="0"/>
      <w:marBottom w:val="0"/>
      <w:divBdr>
        <w:top w:val="none" w:sz="0" w:space="0" w:color="auto"/>
        <w:left w:val="none" w:sz="0" w:space="0" w:color="auto"/>
        <w:bottom w:val="none" w:sz="0" w:space="0" w:color="auto"/>
        <w:right w:val="none" w:sz="0" w:space="0" w:color="auto"/>
      </w:divBdr>
      <w:divsChild>
        <w:div w:id="1641298731">
          <w:marLeft w:val="0"/>
          <w:marRight w:val="0"/>
          <w:marTop w:val="0"/>
          <w:marBottom w:val="0"/>
          <w:divBdr>
            <w:top w:val="none" w:sz="0" w:space="0" w:color="auto"/>
            <w:left w:val="none" w:sz="0" w:space="0" w:color="auto"/>
            <w:bottom w:val="none" w:sz="0" w:space="0" w:color="auto"/>
            <w:right w:val="none" w:sz="0" w:space="0" w:color="auto"/>
          </w:divBdr>
          <w:divsChild>
            <w:div w:id="560025284">
              <w:marLeft w:val="0"/>
              <w:marRight w:val="0"/>
              <w:marTop w:val="0"/>
              <w:marBottom w:val="0"/>
              <w:divBdr>
                <w:top w:val="none" w:sz="0" w:space="0" w:color="auto"/>
                <w:left w:val="none" w:sz="0" w:space="0" w:color="auto"/>
                <w:bottom w:val="none" w:sz="0" w:space="0" w:color="auto"/>
                <w:right w:val="none" w:sz="0" w:space="0" w:color="auto"/>
              </w:divBdr>
              <w:divsChild>
                <w:div w:id="558564443">
                  <w:marLeft w:val="0"/>
                  <w:marRight w:val="0"/>
                  <w:marTop w:val="0"/>
                  <w:marBottom w:val="0"/>
                  <w:divBdr>
                    <w:top w:val="none" w:sz="0" w:space="0" w:color="auto"/>
                    <w:left w:val="none" w:sz="0" w:space="0" w:color="auto"/>
                    <w:bottom w:val="none" w:sz="0" w:space="0" w:color="auto"/>
                    <w:right w:val="none" w:sz="0" w:space="0" w:color="auto"/>
                  </w:divBdr>
                  <w:divsChild>
                    <w:div w:id="118109061">
                      <w:marLeft w:val="0"/>
                      <w:marRight w:val="0"/>
                      <w:marTop w:val="0"/>
                      <w:marBottom w:val="0"/>
                      <w:divBdr>
                        <w:top w:val="none" w:sz="0" w:space="0" w:color="auto"/>
                        <w:left w:val="none" w:sz="0" w:space="0" w:color="auto"/>
                        <w:bottom w:val="none" w:sz="0" w:space="0" w:color="auto"/>
                        <w:right w:val="none" w:sz="0" w:space="0" w:color="auto"/>
                      </w:divBdr>
                      <w:divsChild>
                        <w:div w:id="1865708100">
                          <w:marLeft w:val="0"/>
                          <w:marRight w:val="0"/>
                          <w:marTop w:val="0"/>
                          <w:marBottom w:val="0"/>
                          <w:divBdr>
                            <w:top w:val="none" w:sz="0" w:space="0" w:color="auto"/>
                            <w:left w:val="none" w:sz="0" w:space="0" w:color="auto"/>
                            <w:bottom w:val="none" w:sz="0" w:space="0" w:color="auto"/>
                            <w:right w:val="none" w:sz="0" w:space="0" w:color="auto"/>
                          </w:divBdr>
                        </w:div>
                        <w:div w:id="1070885752">
                          <w:marLeft w:val="0"/>
                          <w:marRight w:val="0"/>
                          <w:marTop w:val="0"/>
                          <w:marBottom w:val="0"/>
                          <w:divBdr>
                            <w:top w:val="none" w:sz="0" w:space="0" w:color="auto"/>
                            <w:left w:val="none" w:sz="0" w:space="0" w:color="auto"/>
                            <w:bottom w:val="none" w:sz="0" w:space="0" w:color="auto"/>
                            <w:right w:val="none" w:sz="0" w:space="0" w:color="auto"/>
                          </w:divBdr>
                        </w:div>
                      </w:divsChild>
                    </w:div>
                    <w:div w:id="207035341">
                      <w:marLeft w:val="0"/>
                      <w:marRight w:val="0"/>
                      <w:marTop w:val="0"/>
                      <w:marBottom w:val="0"/>
                      <w:divBdr>
                        <w:top w:val="none" w:sz="0" w:space="0" w:color="auto"/>
                        <w:left w:val="none" w:sz="0" w:space="0" w:color="auto"/>
                        <w:bottom w:val="none" w:sz="0" w:space="0" w:color="auto"/>
                        <w:right w:val="none" w:sz="0" w:space="0" w:color="auto"/>
                      </w:divBdr>
                      <w:divsChild>
                        <w:div w:id="44114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374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100487">
      <w:bodyDiv w:val="1"/>
      <w:marLeft w:val="0"/>
      <w:marRight w:val="0"/>
      <w:marTop w:val="0"/>
      <w:marBottom w:val="0"/>
      <w:divBdr>
        <w:top w:val="none" w:sz="0" w:space="0" w:color="auto"/>
        <w:left w:val="none" w:sz="0" w:space="0" w:color="auto"/>
        <w:bottom w:val="none" w:sz="0" w:space="0" w:color="auto"/>
        <w:right w:val="none" w:sz="0" w:space="0" w:color="auto"/>
      </w:divBdr>
    </w:div>
    <w:div w:id="1850826157">
      <w:bodyDiv w:val="1"/>
      <w:marLeft w:val="0"/>
      <w:marRight w:val="0"/>
      <w:marTop w:val="0"/>
      <w:marBottom w:val="0"/>
      <w:divBdr>
        <w:top w:val="none" w:sz="0" w:space="0" w:color="auto"/>
        <w:left w:val="none" w:sz="0" w:space="0" w:color="auto"/>
        <w:bottom w:val="none" w:sz="0" w:space="0" w:color="auto"/>
        <w:right w:val="none" w:sz="0" w:space="0" w:color="auto"/>
      </w:divBdr>
      <w:divsChild>
        <w:div w:id="314259923">
          <w:marLeft w:val="0"/>
          <w:marRight w:val="0"/>
          <w:marTop w:val="0"/>
          <w:marBottom w:val="0"/>
          <w:divBdr>
            <w:top w:val="none" w:sz="0" w:space="0" w:color="auto"/>
            <w:left w:val="none" w:sz="0" w:space="0" w:color="auto"/>
            <w:bottom w:val="none" w:sz="0" w:space="0" w:color="auto"/>
            <w:right w:val="none" w:sz="0" w:space="0" w:color="auto"/>
          </w:divBdr>
          <w:divsChild>
            <w:div w:id="842210466">
              <w:marLeft w:val="0"/>
              <w:marRight w:val="0"/>
              <w:marTop w:val="0"/>
              <w:marBottom w:val="0"/>
              <w:divBdr>
                <w:top w:val="none" w:sz="0" w:space="0" w:color="auto"/>
                <w:left w:val="none" w:sz="0" w:space="0" w:color="auto"/>
                <w:bottom w:val="none" w:sz="0" w:space="0" w:color="auto"/>
                <w:right w:val="none" w:sz="0" w:space="0" w:color="auto"/>
              </w:divBdr>
              <w:divsChild>
                <w:div w:id="94889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5263722">
      <w:bodyDiv w:val="1"/>
      <w:marLeft w:val="0"/>
      <w:marRight w:val="0"/>
      <w:marTop w:val="0"/>
      <w:marBottom w:val="0"/>
      <w:divBdr>
        <w:top w:val="none" w:sz="0" w:space="0" w:color="auto"/>
        <w:left w:val="none" w:sz="0" w:space="0" w:color="auto"/>
        <w:bottom w:val="none" w:sz="0" w:space="0" w:color="auto"/>
        <w:right w:val="none" w:sz="0" w:space="0" w:color="auto"/>
      </w:divBdr>
    </w:div>
    <w:div w:id="1927032296">
      <w:bodyDiv w:val="1"/>
      <w:marLeft w:val="0"/>
      <w:marRight w:val="0"/>
      <w:marTop w:val="0"/>
      <w:marBottom w:val="0"/>
      <w:divBdr>
        <w:top w:val="none" w:sz="0" w:space="0" w:color="auto"/>
        <w:left w:val="none" w:sz="0" w:space="0" w:color="auto"/>
        <w:bottom w:val="none" w:sz="0" w:space="0" w:color="auto"/>
        <w:right w:val="none" w:sz="0" w:space="0" w:color="auto"/>
      </w:divBdr>
    </w:div>
    <w:div w:id="1949508698">
      <w:bodyDiv w:val="1"/>
      <w:marLeft w:val="0"/>
      <w:marRight w:val="0"/>
      <w:marTop w:val="0"/>
      <w:marBottom w:val="0"/>
      <w:divBdr>
        <w:top w:val="none" w:sz="0" w:space="0" w:color="auto"/>
        <w:left w:val="none" w:sz="0" w:space="0" w:color="auto"/>
        <w:bottom w:val="none" w:sz="0" w:space="0" w:color="auto"/>
        <w:right w:val="none" w:sz="0" w:space="0" w:color="auto"/>
      </w:divBdr>
    </w:div>
    <w:div w:id="1958028271">
      <w:bodyDiv w:val="1"/>
      <w:marLeft w:val="0"/>
      <w:marRight w:val="0"/>
      <w:marTop w:val="0"/>
      <w:marBottom w:val="0"/>
      <w:divBdr>
        <w:top w:val="none" w:sz="0" w:space="0" w:color="auto"/>
        <w:left w:val="none" w:sz="0" w:space="0" w:color="auto"/>
        <w:bottom w:val="none" w:sz="0" w:space="0" w:color="auto"/>
        <w:right w:val="none" w:sz="0" w:space="0" w:color="auto"/>
      </w:divBdr>
    </w:div>
    <w:div w:id="1967928721">
      <w:bodyDiv w:val="1"/>
      <w:marLeft w:val="0"/>
      <w:marRight w:val="0"/>
      <w:marTop w:val="0"/>
      <w:marBottom w:val="0"/>
      <w:divBdr>
        <w:top w:val="none" w:sz="0" w:space="0" w:color="auto"/>
        <w:left w:val="none" w:sz="0" w:space="0" w:color="auto"/>
        <w:bottom w:val="none" w:sz="0" w:space="0" w:color="auto"/>
        <w:right w:val="none" w:sz="0" w:space="0" w:color="auto"/>
      </w:divBdr>
    </w:div>
    <w:div w:id="2018773720">
      <w:bodyDiv w:val="1"/>
      <w:marLeft w:val="0"/>
      <w:marRight w:val="0"/>
      <w:marTop w:val="0"/>
      <w:marBottom w:val="0"/>
      <w:divBdr>
        <w:top w:val="none" w:sz="0" w:space="0" w:color="auto"/>
        <w:left w:val="none" w:sz="0" w:space="0" w:color="auto"/>
        <w:bottom w:val="none" w:sz="0" w:space="0" w:color="auto"/>
        <w:right w:val="none" w:sz="0" w:space="0" w:color="auto"/>
      </w:divBdr>
      <w:divsChild>
        <w:div w:id="2037651583">
          <w:marLeft w:val="0"/>
          <w:marRight w:val="0"/>
          <w:marTop w:val="0"/>
          <w:marBottom w:val="0"/>
          <w:divBdr>
            <w:top w:val="none" w:sz="0" w:space="0" w:color="auto"/>
            <w:left w:val="none" w:sz="0" w:space="0" w:color="auto"/>
            <w:bottom w:val="none" w:sz="0" w:space="0" w:color="auto"/>
            <w:right w:val="none" w:sz="0" w:space="0" w:color="auto"/>
          </w:divBdr>
        </w:div>
        <w:div w:id="1207638761">
          <w:marLeft w:val="0"/>
          <w:marRight w:val="0"/>
          <w:marTop w:val="0"/>
          <w:marBottom w:val="0"/>
          <w:divBdr>
            <w:top w:val="none" w:sz="0" w:space="0" w:color="auto"/>
            <w:left w:val="none" w:sz="0" w:space="0" w:color="auto"/>
            <w:bottom w:val="none" w:sz="0" w:space="0" w:color="auto"/>
            <w:right w:val="none" w:sz="0" w:space="0" w:color="auto"/>
          </w:divBdr>
        </w:div>
      </w:divsChild>
    </w:div>
    <w:div w:id="2033263588">
      <w:bodyDiv w:val="1"/>
      <w:marLeft w:val="0"/>
      <w:marRight w:val="0"/>
      <w:marTop w:val="0"/>
      <w:marBottom w:val="0"/>
      <w:divBdr>
        <w:top w:val="none" w:sz="0" w:space="0" w:color="auto"/>
        <w:left w:val="none" w:sz="0" w:space="0" w:color="auto"/>
        <w:bottom w:val="none" w:sz="0" w:space="0" w:color="auto"/>
        <w:right w:val="none" w:sz="0" w:space="0" w:color="auto"/>
      </w:divBdr>
      <w:divsChild>
        <w:div w:id="393967212">
          <w:marLeft w:val="0"/>
          <w:marRight w:val="0"/>
          <w:marTop w:val="0"/>
          <w:marBottom w:val="0"/>
          <w:divBdr>
            <w:top w:val="none" w:sz="0" w:space="0" w:color="auto"/>
            <w:left w:val="none" w:sz="0" w:space="0" w:color="auto"/>
            <w:bottom w:val="none" w:sz="0" w:space="0" w:color="auto"/>
            <w:right w:val="none" w:sz="0" w:space="0" w:color="auto"/>
          </w:divBdr>
        </w:div>
        <w:div w:id="752551024">
          <w:marLeft w:val="0"/>
          <w:marRight w:val="0"/>
          <w:marTop w:val="0"/>
          <w:marBottom w:val="0"/>
          <w:divBdr>
            <w:top w:val="none" w:sz="0" w:space="0" w:color="auto"/>
            <w:left w:val="none" w:sz="0" w:space="0" w:color="auto"/>
            <w:bottom w:val="none" w:sz="0" w:space="0" w:color="auto"/>
            <w:right w:val="none" w:sz="0" w:space="0" w:color="auto"/>
          </w:divBdr>
        </w:div>
        <w:div w:id="1276717998">
          <w:marLeft w:val="0"/>
          <w:marRight w:val="0"/>
          <w:marTop w:val="0"/>
          <w:marBottom w:val="0"/>
          <w:divBdr>
            <w:top w:val="none" w:sz="0" w:space="0" w:color="auto"/>
            <w:left w:val="none" w:sz="0" w:space="0" w:color="auto"/>
            <w:bottom w:val="none" w:sz="0" w:space="0" w:color="auto"/>
            <w:right w:val="none" w:sz="0" w:space="0" w:color="auto"/>
          </w:divBdr>
        </w:div>
        <w:div w:id="1003246582">
          <w:marLeft w:val="0"/>
          <w:marRight w:val="0"/>
          <w:marTop w:val="0"/>
          <w:marBottom w:val="0"/>
          <w:divBdr>
            <w:top w:val="none" w:sz="0" w:space="0" w:color="auto"/>
            <w:left w:val="none" w:sz="0" w:space="0" w:color="auto"/>
            <w:bottom w:val="none" w:sz="0" w:space="0" w:color="auto"/>
            <w:right w:val="none" w:sz="0" w:space="0" w:color="auto"/>
          </w:divBdr>
        </w:div>
        <w:div w:id="946893110">
          <w:marLeft w:val="0"/>
          <w:marRight w:val="0"/>
          <w:marTop w:val="0"/>
          <w:marBottom w:val="0"/>
          <w:divBdr>
            <w:top w:val="none" w:sz="0" w:space="0" w:color="auto"/>
            <w:left w:val="none" w:sz="0" w:space="0" w:color="auto"/>
            <w:bottom w:val="none" w:sz="0" w:space="0" w:color="auto"/>
            <w:right w:val="none" w:sz="0" w:space="0" w:color="auto"/>
          </w:divBdr>
        </w:div>
        <w:div w:id="1442722072">
          <w:marLeft w:val="0"/>
          <w:marRight w:val="0"/>
          <w:marTop w:val="0"/>
          <w:marBottom w:val="0"/>
          <w:divBdr>
            <w:top w:val="none" w:sz="0" w:space="0" w:color="auto"/>
            <w:left w:val="none" w:sz="0" w:space="0" w:color="auto"/>
            <w:bottom w:val="none" w:sz="0" w:space="0" w:color="auto"/>
            <w:right w:val="none" w:sz="0" w:space="0" w:color="auto"/>
          </w:divBdr>
        </w:div>
        <w:div w:id="26375967">
          <w:marLeft w:val="0"/>
          <w:marRight w:val="0"/>
          <w:marTop w:val="0"/>
          <w:marBottom w:val="0"/>
          <w:divBdr>
            <w:top w:val="none" w:sz="0" w:space="0" w:color="auto"/>
            <w:left w:val="none" w:sz="0" w:space="0" w:color="auto"/>
            <w:bottom w:val="none" w:sz="0" w:space="0" w:color="auto"/>
            <w:right w:val="none" w:sz="0" w:space="0" w:color="auto"/>
          </w:divBdr>
        </w:div>
        <w:div w:id="2105882587">
          <w:marLeft w:val="0"/>
          <w:marRight w:val="0"/>
          <w:marTop w:val="0"/>
          <w:marBottom w:val="0"/>
          <w:divBdr>
            <w:top w:val="none" w:sz="0" w:space="0" w:color="auto"/>
            <w:left w:val="none" w:sz="0" w:space="0" w:color="auto"/>
            <w:bottom w:val="none" w:sz="0" w:space="0" w:color="auto"/>
            <w:right w:val="none" w:sz="0" w:space="0" w:color="auto"/>
          </w:divBdr>
        </w:div>
        <w:div w:id="1557550803">
          <w:marLeft w:val="0"/>
          <w:marRight w:val="0"/>
          <w:marTop w:val="0"/>
          <w:marBottom w:val="0"/>
          <w:divBdr>
            <w:top w:val="none" w:sz="0" w:space="0" w:color="auto"/>
            <w:left w:val="none" w:sz="0" w:space="0" w:color="auto"/>
            <w:bottom w:val="none" w:sz="0" w:space="0" w:color="auto"/>
            <w:right w:val="none" w:sz="0" w:space="0" w:color="auto"/>
          </w:divBdr>
        </w:div>
        <w:div w:id="1922715430">
          <w:marLeft w:val="0"/>
          <w:marRight w:val="0"/>
          <w:marTop w:val="0"/>
          <w:marBottom w:val="0"/>
          <w:divBdr>
            <w:top w:val="none" w:sz="0" w:space="0" w:color="auto"/>
            <w:left w:val="none" w:sz="0" w:space="0" w:color="auto"/>
            <w:bottom w:val="none" w:sz="0" w:space="0" w:color="auto"/>
            <w:right w:val="none" w:sz="0" w:space="0" w:color="auto"/>
          </w:divBdr>
        </w:div>
      </w:divsChild>
    </w:div>
    <w:div w:id="2104953144">
      <w:bodyDiv w:val="1"/>
      <w:marLeft w:val="0"/>
      <w:marRight w:val="0"/>
      <w:marTop w:val="0"/>
      <w:marBottom w:val="0"/>
      <w:divBdr>
        <w:top w:val="none" w:sz="0" w:space="0" w:color="auto"/>
        <w:left w:val="none" w:sz="0" w:space="0" w:color="auto"/>
        <w:bottom w:val="none" w:sz="0" w:space="0" w:color="auto"/>
        <w:right w:val="none" w:sz="0" w:space="0" w:color="auto"/>
      </w:divBdr>
    </w:div>
    <w:div w:id="2124111831">
      <w:bodyDiv w:val="1"/>
      <w:marLeft w:val="0"/>
      <w:marRight w:val="0"/>
      <w:marTop w:val="0"/>
      <w:marBottom w:val="0"/>
      <w:divBdr>
        <w:top w:val="none" w:sz="0" w:space="0" w:color="auto"/>
        <w:left w:val="none" w:sz="0" w:space="0" w:color="auto"/>
        <w:bottom w:val="none" w:sz="0" w:space="0" w:color="auto"/>
        <w:right w:val="none" w:sz="0" w:space="0" w:color="auto"/>
      </w:divBdr>
      <w:divsChild>
        <w:div w:id="409933172">
          <w:marLeft w:val="0"/>
          <w:marRight w:val="0"/>
          <w:marTop w:val="0"/>
          <w:marBottom w:val="0"/>
          <w:divBdr>
            <w:top w:val="none" w:sz="0" w:space="0" w:color="auto"/>
            <w:left w:val="none" w:sz="0" w:space="0" w:color="auto"/>
            <w:bottom w:val="none" w:sz="0" w:space="0" w:color="auto"/>
            <w:right w:val="none" w:sz="0" w:space="0" w:color="auto"/>
          </w:divBdr>
          <w:divsChild>
            <w:div w:id="881596111">
              <w:marLeft w:val="0"/>
              <w:marRight w:val="0"/>
              <w:marTop w:val="0"/>
              <w:marBottom w:val="0"/>
              <w:divBdr>
                <w:top w:val="none" w:sz="0" w:space="0" w:color="auto"/>
                <w:left w:val="none" w:sz="0" w:space="0" w:color="auto"/>
                <w:bottom w:val="none" w:sz="0" w:space="0" w:color="auto"/>
                <w:right w:val="none" w:sz="0" w:space="0" w:color="auto"/>
              </w:divBdr>
              <w:divsChild>
                <w:div w:id="159463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kunleowolabi/disequilibrium_model_pape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034C89E-B9D8-5046-A2F2-A57E7AD17866}">
  <we:reference id="wa104382081" version="1.55.1.0" store="en-GB" storeType="OMEX"/>
  <we:alternateReferences>
    <we:reference id="wa104382081" version="1.55.1.0" store="WA104382081" storeType="OMEX"/>
  </we:alternateReferences>
  <we:properties>
    <we:property name="MENDELEY_CITATIONS" valu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C83412-1A62-5945-9913-C1F7065CED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34</Pages>
  <Words>8932</Words>
  <Characters>50915</Characters>
  <Application>Microsoft Office Word</Application>
  <DocSecurity>0</DocSecurity>
  <Lines>424</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ATC Admin</dc:creator>
  <cp:lastModifiedBy>ATC Admin</cp:lastModifiedBy>
  <cp:revision>16</cp:revision>
  <dcterms:created xsi:type="dcterms:W3CDTF">2026-09-25T10:38:00Z</dcterms:created>
  <dcterms:modified xsi:type="dcterms:W3CDTF">2026-10-22T17:30:00Z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1033-5.4.4.8063</vt:lpwstr>
  </property>
</Properties>
</file>