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rPr>
          <w:sz w:val="4"/>
          <w:szCs w:val="4"/>
        </w:rPr>
        <w:t xml:space="preserve"/>
      </w:r>
    </w:p>
    <w:p>
      <w:pPr>
        <w:spacing w:before="0" w:after="80"/>
        <w:jc w:val="center"/>
      </w:pPr>
      <w:r>
        <w:rPr>
          <w:rFonts w:ascii="Arial" w:cs="Arial" w:eastAsia="Arial" w:hAnsi="Arial"/>
          <w:b/>
          <w:bCs/>
          <w:color w:val="1D9E75"/>
          <w:sz w:val="96"/>
          <w:szCs w:val="96"/>
        </w:rPr>
        <w:t xml:space="preserve">APEX</w:t>
      </w:r>
    </w:p>
    <w:p>
      <w:pPr>
        <w:spacing w:before="0" w:after="60"/>
        <w:jc w:val="center"/>
      </w:pPr>
      <w:r>
        <w:rPr>
          <w:rFonts w:ascii="Arial" w:cs="Arial" w:eastAsia="Arial" w:hAnsi="Arial"/>
          <w:color w:val="555555"/>
          <w:sz w:val="32"/>
          <w:szCs w:val="32"/>
        </w:rPr>
        <w:t xml:space="preserve">Autonomous Price Execution Agent</w:t>
      </w:r>
    </w:p>
    <w:p>
      <w:pPr>
        <w:spacing w:before="0" w:after="600"/>
        <w:jc w:val="center"/>
      </w:pPr>
      <w:r>
        <w:rPr>
          <w:rFonts w:ascii="Arial" w:cs="Arial" w:eastAsia="Arial" w:hAnsi="Arial"/>
          <w:i/>
          <w:iCs/>
          <w:color w:val="555555"/>
          <w:sz w:val="22"/>
          <w:szCs w:val="22"/>
        </w:rPr>
        <w:t xml:space="preserve">Technical Whitepaper  ·  Version 1.0</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4700"/>
      </w:tblGrid>
      <w:tr>
        <w:tc>
          <w:tcPr>
            <w:tcW w:type="dxa" w:w="2500"/>
            <w:tcBorders>
              <w:top w:val="none" w:color="FFFFFF" w:sz="0"/>
              <w:left w:val="none" w:color="FFFFFF" w:sz="0"/>
              <w:bottom w:val="none" w:color="FFFFFF" w:sz="0"/>
              <w:right w:val="none" w:color="FFFFFF" w:sz="0"/>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555555"/>
                <w:sz w:val="20"/>
                <w:szCs w:val="20"/>
              </w:rPr>
              <w:t xml:space="preserve">Project</w:t>
            </w:r>
          </w:p>
        </w:tc>
        <w:tc>
          <w:tcPr>
            <w:tcW w:type="dxa" w:w="6860"/>
            <w:tcBorders>
              <w:top w:val="none" w:color="FFFFFF" w:sz="0"/>
              <w:left w:val="none" w:color="FFFFFF" w:sz="0"/>
              <w:bottom w:val="none" w:color="FFFFFF" w:sz="0"/>
              <w:right w:val="none" w:color="FFFFFF" w:sz="0"/>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APEX — Autonomous Price Execution Agent</w:t>
            </w:r>
          </w:p>
        </w:tc>
      </w:tr>
      <w:tr>
        <w:tc>
          <w:tcPr>
            <w:tcW w:type="dxa" w:w="2500"/>
            <w:tcBorders>
              <w:top w:val="none" w:color="FFFFFF" w:sz="0"/>
              <w:left w:val="none" w:color="FFFFFF" w:sz="0"/>
              <w:bottom w:val="none" w:color="FFFFFF" w:sz="0"/>
              <w:right w:val="none" w:color="FFFFFF" w:sz="0"/>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555555"/>
                <w:sz w:val="20"/>
                <w:szCs w:val="20"/>
              </w:rPr>
              <w:t xml:space="preserve">Version</w:t>
            </w:r>
          </w:p>
        </w:tc>
        <w:tc>
          <w:tcPr>
            <w:tcW w:type="dxa" w:w="6860"/>
            <w:tcBorders>
              <w:top w:val="none" w:color="FFFFFF" w:sz="0"/>
              <w:left w:val="none" w:color="FFFFFF" w:sz="0"/>
              <w:bottom w:val="none" w:color="FFFFFF" w:sz="0"/>
              <w:right w:val="none" w:color="FFFFFF" w:sz="0"/>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1.0.0</w:t>
            </w:r>
          </w:p>
        </w:tc>
      </w:tr>
      <w:tr>
        <w:tc>
          <w:tcPr>
            <w:tcW w:type="dxa" w:w="2500"/>
            <w:tcBorders>
              <w:top w:val="none" w:color="FFFFFF" w:sz="0"/>
              <w:left w:val="none" w:color="FFFFFF" w:sz="0"/>
              <w:bottom w:val="none" w:color="FFFFFF" w:sz="0"/>
              <w:right w:val="none" w:color="FFFFFF" w:sz="0"/>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555555"/>
                <w:sz w:val="20"/>
                <w:szCs w:val="20"/>
              </w:rPr>
              <w:t xml:space="preserve">Status</w:t>
            </w:r>
          </w:p>
        </w:tc>
        <w:tc>
          <w:tcPr>
            <w:tcW w:type="dxa" w:w="6860"/>
            <w:tcBorders>
              <w:top w:val="none" w:color="FFFFFF" w:sz="0"/>
              <w:left w:val="none" w:color="FFFFFF" w:sz="0"/>
              <w:bottom w:val="none" w:color="FFFFFF" w:sz="0"/>
              <w:right w:val="none" w:color="FFFFFF" w:sz="0"/>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Pre-production / Design Phase</w:t>
            </w:r>
          </w:p>
        </w:tc>
      </w:tr>
      <w:tr>
        <w:tc>
          <w:tcPr>
            <w:tcW w:type="dxa" w:w="2500"/>
            <w:tcBorders>
              <w:top w:val="none" w:color="FFFFFF" w:sz="0"/>
              <w:left w:val="none" w:color="FFFFFF" w:sz="0"/>
              <w:bottom w:val="none" w:color="FFFFFF" w:sz="0"/>
              <w:right w:val="none" w:color="FFFFFF" w:sz="0"/>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555555"/>
                <w:sz w:val="20"/>
                <w:szCs w:val="20"/>
              </w:rPr>
              <w:t xml:space="preserve">Date</w:t>
            </w:r>
          </w:p>
        </w:tc>
        <w:tc>
          <w:tcPr>
            <w:tcW w:type="dxa" w:w="6860"/>
            <w:tcBorders>
              <w:top w:val="none" w:color="FFFFFF" w:sz="0"/>
              <w:left w:val="none" w:color="FFFFFF" w:sz="0"/>
              <w:bottom w:val="none" w:color="FFFFFF" w:sz="0"/>
              <w:right w:val="none" w:color="FFFFFF" w:sz="0"/>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March 2026</w:t>
            </w:r>
          </w:p>
        </w:tc>
      </w:tr>
      <w:tr>
        <w:tc>
          <w:tcPr>
            <w:tcW w:type="dxa" w:w="2500"/>
            <w:tcBorders>
              <w:top w:val="none" w:color="FFFFFF" w:sz="0"/>
              <w:left w:val="none" w:color="FFFFFF" w:sz="0"/>
              <w:bottom w:val="none" w:color="FFFFFF" w:sz="0"/>
              <w:right w:val="none" w:color="FFFFFF" w:sz="0"/>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555555"/>
                <w:sz w:val="20"/>
                <w:szCs w:val="20"/>
              </w:rPr>
              <w:t xml:space="preserve">Classification</w:t>
            </w:r>
          </w:p>
        </w:tc>
        <w:tc>
          <w:tcPr>
            <w:tcW w:type="dxa" w:w="6860"/>
            <w:tcBorders>
              <w:top w:val="none" w:color="FFFFFF" w:sz="0"/>
              <w:left w:val="none" w:color="FFFFFF" w:sz="0"/>
              <w:bottom w:val="none" w:color="FFFFFF" w:sz="0"/>
              <w:right w:val="none" w:color="FFFFFF" w:sz="0"/>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Confidential</w:t>
            </w:r>
          </w:p>
        </w:tc>
      </w:tr>
      <w:tr>
        <w:tc>
          <w:tcPr>
            <w:tcW w:type="dxa" w:w="2500"/>
            <w:tcBorders>
              <w:top w:val="none" w:color="FFFFFF" w:sz="0"/>
              <w:left w:val="none" w:color="FFFFFF" w:sz="0"/>
              <w:bottom w:val="none" w:color="FFFFFF" w:sz="0"/>
              <w:right w:val="none" w:color="FFFFFF" w:sz="0"/>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555555"/>
                <w:sz w:val="20"/>
                <w:szCs w:val="20"/>
              </w:rPr>
              <w:t xml:space="preserve">Platform</w:t>
            </w:r>
          </w:p>
        </w:tc>
        <w:tc>
          <w:tcPr>
            <w:tcW w:type="dxa" w:w="6860"/>
            <w:tcBorders>
              <w:top w:val="none" w:color="FFFFFF" w:sz="0"/>
              <w:left w:val="none" w:color="FFFFFF" w:sz="0"/>
              <w:bottom w:val="none" w:color="FFFFFF" w:sz="0"/>
              <w:right w:val="none" w:color="FFFFFF" w:sz="0"/>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MetaTrader 5 (Demo → Live)</w:t>
            </w:r>
          </w:p>
        </w:tc>
      </w:tr>
      <w:tr>
        <w:tc>
          <w:tcPr>
            <w:tcW w:type="dxa" w:w="2500"/>
            <w:tcBorders>
              <w:top w:val="none" w:color="FFFFFF" w:sz="0"/>
              <w:left w:val="none" w:color="FFFFFF" w:sz="0"/>
              <w:bottom w:val="none" w:color="FFFFFF" w:sz="0"/>
              <w:right w:val="none" w:color="FFFFFF" w:sz="0"/>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555555"/>
                <w:sz w:val="20"/>
                <w:szCs w:val="20"/>
              </w:rPr>
              <w:t xml:space="preserve">Cost to operate</w:t>
            </w:r>
          </w:p>
        </w:tc>
        <w:tc>
          <w:tcPr>
            <w:tcW w:type="dxa" w:w="6860"/>
            <w:tcBorders>
              <w:top w:val="none" w:color="FFFFFF" w:sz="0"/>
              <w:left w:val="none" w:color="FFFFFF" w:sz="0"/>
              <w:bottom w:val="none" w:color="FFFFFF" w:sz="0"/>
              <w:right w:val="none" w:color="FFFFFF" w:sz="0"/>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$0 / month (fully free stack)</w:t>
            </w:r>
          </w:p>
        </w:tc>
      </w:tr>
    </w:tbl>
    <w:p>
      <w:r>
        <w:br w:type="page"/>
      </w:r>
    </w:p>
    <w:p>
      <w:pPr>
        <w:pStyle w:val="Heading1"/>
        <w:pBdr>
          <w:bottom w:val="single" w:color="1D9E75" w:sz="8" w:space="4"/>
        </w:pBdr>
        <w:spacing w:before="400" w:after="200"/>
      </w:pPr>
      <w:r>
        <w:rPr>
          <w:rFonts w:ascii="Arial" w:cs="Arial" w:eastAsia="Arial" w:hAnsi="Arial"/>
          <w:b/>
          <w:bCs/>
          <w:color w:val="0d1a14"/>
          <w:sz w:val="36"/>
          <w:szCs w:val="36"/>
        </w:rPr>
        <w:t xml:space="preserve">1. Executive Summary</w:t>
      </w:r>
    </w:p>
    <w:p>
      <w:pPr>
        <w:spacing w:before="0" w:after="160"/>
        <w:jc w:val="left"/>
      </w:pPr>
      <w:r>
        <w:rPr>
          <w:rFonts w:ascii="Arial" w:cs="Arial" w:eastAsia="Arial" w:hAnsi="Arial"/>
          <w:b w:val="false"/>
          <w:bCs w:val="false"/>
          <w:i w:val="false"/>
          <w:iCs w:val="false"/>
          <w:color w:val="111111"/>
          <w:sz w:val="22"/>
          <w:szCs w:val="22"/>
        </w:rPr>
        <w:t xml:space="preserve">APEX (Autonomous Price Execution Agent) is a fully autonomous, AI-powered algorithmic trading system designed to operate on MetaTrader 5 (MT5). It continuously monitors financial markets across multiple symbols and timeframes, identifies high-confluence trading setups using a multi-layered analysis engine, and executes trades automatically — including market orders, limit orders, and stop orders — without human intervention.</w:t>
      </w:r>
    </w:p>
    <w:p>
      <w:pPr>
        <w:spacing w:before="0" w:after="160"/>
        <w:jc w:val="left"/>
      </w:pPr>
      <w:r>
        <w:rPr>
          <w:rFonts w:ascii="Arial" w:cs="Arial" w:eastAsia="Arial" w:hAnsi="Arial"/>
          <w:b w:val="false"/>
          <w:bCs w:val="false"/>
          <w:i w:val="false"/>
          <w:iCs w:val="false"/>
          <w:color w:val="111111"/>
          <w:sz w:val="22"/>
          <w:szCs w:val="22"/>
        </w:rPr>
        <w:t xml:space="preserve">The system is built entirely on free and open-source technologies, with zero monthly operating cost. It uses locally-run large language models (LLMs) via Ollama as its primary reasoning engine, supplemented by free-tier cloud APIs (Groq, Gemini Flash) for news analysis and cross-validation. All trading activity, lessons, and performance metrics are stored in a local SQLite database.</w:t>
      </w:r>
    </w:p>
    <w:p>
      <w:pPr>
        <w:spacing w:before="0" w:after="80"/>
        <w:jc w:val="left"/>
      </w:pPr>
      <w:r>
        <w:rPr>
          <w:rFonts w:ascii="Arial" w:cs="Arial" w:eastAsia="Arial" w:hAnsi="Arial"/>
          <w:b w:val="false"/>
          <w:bCs w:val="false"/>
          <w:i w:val="false"/>
          <w:iCs w:val="false"/>
          <w:color w:val="111111"/>
          <w:sz w:val="22"/>
          <w:szCs w:val="22"/>
        </w:rPr>
        <w:t xml:space="preserve">APEX operates in two phases:</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Demo phase: The agent trades exclusively on a demo MT5 account, learning from every trade through a structured self-evaluation loop.</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Live phase: Manually unlocked by the operator only after the agent achieves a 75%+ win rate across a minimum of 100 completed trades, a 1.5+ average risk-reward ratio, and a maximum 15% drawdown — all measured over a rolling 100-trade window.</w:t>
      </w:r>
    </w:p>
    <w:p>
      <w:pPr>
        <w:spacing w:before="160" w:after="80"/>
      </w:pPr>
      <w:r>
        <w:rPr>
          <w:rFonts w:ascii="Arial" w:cs="Arial" w:eastAsia="Arial" w:hAnsi="Arial"/>
          <w:b/>
          <w:bCs/>
          <w:color w:val="111111"/>
          <w:sz w:val="22"/>
          <w:szCs w:val="22"/>
        </w:rPr>
        <w:t xml:space="preserve">Key highlights:</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Zero operating cost — fully free stack</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Multi-concept analysis: SMC, technical analysis, price action, Wyckoff, fundamental</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Multi-LLM council: Ollama (local) + Groq + Gemini for consensus-based decisions</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Real-time chart watching — reacts to every closed candle across 6 timeframes</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Smart order placement: market, limit, stop orders based on price-zone relationship</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100-trade minimum accuracy gate before live trading is permitted</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Telegram notifications — trade alerts delivered to your phone in real time</w:t>
      </w:r>
    </w:p>
    <w:p>
      <w:pPr>
        <w:pBdr>
          <w:bottom w:val="single" w:color="DDDDDD" w:sz="2" w:space="1"/>
        </w:pBdr>
        <w:spacing w:before="200" w:after="200"/>
      </w:pPr>
      <w:r>
        <w:rPr>
          <w:rFonts w:ascii="Arial" w:cs="Arial" w:eastAsia="Arial" w:hAnsi="Arial"/>
          <w:sz w:val="4"/>
          <w:szCs w:val="4"/>
        </w:rPr>
        <w:t xml:space="preserve"/>
      </w:r>
    </w:p>
    <w:p>
      <w:pPr>
        <w:pStyle w:val="Heading1"/>
        <w:pBdr>
          <w:bottom w:val="single" w:color="1D9E75" w:sz="8" w:space="4"/>
        </w:pBdr>
        <w:spacing w:before="400" w:after="200"/>
      </w:pPr>
      <w:r>
        <w:rPr>
          <w:rFonts w:ascii="Arial" w:cs="Arial" w:eastAsia="Arial" w:hAnsi="Arial"/>
          <w:b/>
          <w:bCs/>
          <w:color w:val="0d1a14"/>
          <w:sz w:val="36"/>
          <w:szCs w:val="36"/>
        </w:rPr>
        <w:t xml:space="preserve">2. Problem Statement</w:t>
      </w:r>
    </w:p>
    <w:p>
      <w:pPr>
        <w:spacing w:before="0" w:after="160"/>
        <w:jc w:val="left"/>
      </w:pPr>
      <w:r>
        <w:rPr>
          <w:rFonts w:ascii="Arial" w:cs="Arial" w:eastAsia="Arial" w:hAnsi="Arial"/>
          <w:b w:val="false"/>
          <w:bCs w:val="false"/>
          <w:i w:val="false"/>
          <w:iCs w:val="false"/>
          <w:color w:val="111111"/>
          <w:sz w:val="22"/>
          <w:szCs w:val="22"/>
        </w:rPr>
        <w:t xml:space="preserve">Manual trading is cognitively demanding, emotionally volatile, and physically limited by human attention spans. A trader cannot watch 10 currency pairs across 6 timeframes simultaneously, 24 hours a day, 5 days a week. Critical setups are missed. Emotions override discipline. Fatigue causes errors.</w:t>
      </w:r>
    </w:p>
    <w:p>
      <w:pPr>
        <w:spacing w:before="0" w:after="80"/>
        <w:jc w:val="left"/>
      </w:pPr>
      <w:r>
        <w:rPr>
          <w:rFonts w:ascii="Arial" w:cs="Arial" w:eastAsia="Arial" w:hAnsi="Arial"/>
          <w:b w:val="false"/>
          <w:bCs w:val="false"/>
          <w:i w:val="false"/>
          <w:iCs w:val="false"/>
          <w:color w:val="111111"/>
          <w:sz w:val="22"/>
          <w:szCs w:val="22"/>
        </w:rPr>
        <w:t xml:space="preserve">Existing algorithmic trading solutions fall into two camps:</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Rule-based Expert Advisors (EAs): Fast and deterministic, but rigid. They cannot reason about context, adapt to changing market regimes, or understand the narrative behind price action.</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Commercial AI trading systems: Expensive subscriptions ($200–$2,000/month), opaque logic, no customisation, and no learning capability.</w:t>
      </w:r>
    </w:p>
    <w:p>
      <w:pPr>
        <w:spacing w:before="0" w:after="160"/>
        <w:jc w:val="left"/>
      </w:pPr>
      <w:r>
        <w:rPr>
          <w:rFonts w:ascii="Arial" w:cs="Arial" w:eastAsia="Arial" w:hAnsi="Arial"/>
          <w:b w:val="false"/>
          <w:bCs w:val="false"/>
          <w:i w:val="false"/>
          <w:iCs w:val="false"/>
          <w:color w:val="111111"/>
          <w:sz w:val="22"/>
          <w:szCs w:val="22"/>
        </w:rPr>
        <w:t xml:space="preserve">APEX solves both problems. It combines the speed and consistency of an algorithm with the contextual reasoning of a large language model — at zero cost.</w:t>
      </w:r>
    </w:p>
    <w:p>
      <w:pPr>
        <w:pBdr>
          <w:bottom w:val="single" w:color="DDDDDD" w:sz="2" w:space="1"/>
        </w:pBdr>
        <w:spacing w:before="200" w:after="200"/>
      </w:pPr>
      <w:r>
        <w:rPr>
          <w:rFonts w:ascii="Arial" w:cs="Arial" w:eastAsia="Arial" w:hAnsi="Arial"/>
          <w:sz w:val="4"/>
          <w:szCs w:val="4"/>
        </w:rPr>
        <w:t xml:space="preserve"/>
      </w:r>
    </w:p>
    <w:p>
      <w:pPr>
        <w:pStyle w:val="Heading1"/>
        <w:pBdr>
          <w:bottom w:val="single" w:color="1D9E75" w:sz="8" w:space="4"/>
        </w:pBdr>
        <w:spacing w:before="400" w:after="200"/>
      </w:pPr>
      <w:r>
        <w:rPr>
          <w:rFonts w:ascii="Arial" w:cs="Arial" w:eastAsia="Arial" w:hAnsi="Arial"/>
          <w:b/>
          <w:bCs/>
          <w:color w:val="0d1a14"/>
          <w:sz w:val="36"/>
          <w:szCs w:val="36"/>
        </w:rPr>
        <w:t xml:space="preserve">3. System Overview</w:t>
      </w:r>
    </w:p>
    <w:p>
      <w:pPr>
        <w:spacing w:before="0" w:after="160"/>
        <w:jc w:val="left"/>
      </w:pPr>
      <w:r>
        <w:rPr>
          <w:rFonts w:ascii="Arial" w:cs="Arial" w:eastAsia="Arial" w:hAnsi="Arial"/>
          <w:b w:val="false"/>
          <w:bCs w:val="false"/>
          <w:i w:val="false"/>
          <w:iCs w:val="false"/>
          <w:color w:val="111111"/>
          <w:sz w:val="22"/>
          <w:szCs w:val="22"/>
        </w:rPr>
        <w:t xml:space="preserve">APEX is structured as a layered pipeline. Each layer has a single responsibility. Data flows downward through the pipeline; lessons and feedback flow back upward to improve future decisions.</w:t>
      </w:r>
    </w:p>
    <w:p>
      <w:pPr>
        <w:pStyle w:val="Heading2"/>
        <w:spacing w:before="300" w:after="140"/>
      </w:pPr>
      <w:r>
        <w:rPr>
          <w:rFonts w:ascii="Arial" w:cs="Arial" w:eastAsia="Arial" w:hAnsi="Arial"/>
          <w:b/>
          <w:bCs/>
          <w:color w:val="0F6E56"/>
          <w:sz w:val="28"/>
          <w:szCs w:val="28"/>
        </w:rPr>
        <w:t xml:space="preserve">3.1 Pipeline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0F6E56" w:sz="1"/>
              <w:left w:val="single" w:color="0F6E56" w:sz="1"/>
              <w:bottom w:val="single" w:color="0F6E56" w:sz="1"/>
              <w:right w:val="single" w:color="0F6E56" w:sz="1"/>
            </w:tcBorders>
            <w:shd w:fill="0F6E56" w:val="clear"/>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FFFFFF"/>
                <w:sz w:val="20"/>
                <w:szCs w:val="20"/>
              </w:rPr>
              <w:t xml:space="preserve">Layer</w:t>
            </w:r>
          </w:p>
        </w:tc>
        <w:tc>
          <w:tcPr>
            <w:tcW w:type="dxa" w:w="2200"/>
            <w:tcBorders>
              <w:top w:val="single" w:color="0F6E56" w:sz="1"/>
              <w:left w:val="single" w:color="0F6E56" w:sz="1"/>
              <w:bottom w:val="single" w:color="0F6E56" w:sz="1"/>
              <w:right w:val="single" w:color="0F6E56" w:sz="1"/>
            </w:tcBorders>
            <w:shd w:fill="0F6E56" w:val="clear"/>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FFFFFF"/>
                <w:sz w:val="20"/>
                <w:szCs w:val="20"/>
              </w:rPr>
              <w:t xml:space="preserve">Name</w:t>
            </w:r>
          </w:p>
        </w:tc>
        <w:tc>
          <w:tcPr>
            <w:tcW w:type="dxa" w:w="5360"/>
            <w:tcBorders>
              <w:top w:val="single" w:color="0F6E56" w:sz="1"/>
              <w:left w:val="single" w:color="0F6E56" w:sz="1"/>
              <w:bottom w:val="single" w:color="0F6E56" w:sz="1"/>
              <w:right w:val="single" w:color="0F6E56" w:sz="1"/>
            </w:tcBorders>
            <w:shd w:fill="0F6E56" w:val="clear"/>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FFFFFF"/>
                <w:sz w:val="20"/>
                <w:szCs w:val="20"/>
              </w:rPr>
              <w:t xml:space="preserve">Responsibility</w:t>
            </w:r>
          </w:p>
        </w:tc>
      </w:tr>
      <w:tr>
        <w:tc>
          <w:tcPr>
            <w:tcW w:type="dxa" w:w="1800"/>
            <w:tcBorders>
              <w:top w:val="single" w:color="DDDDDD" w:sz="1"/>
              <w:left w:val="single" w:color="DDDDDD" w:sz="1"/>
              <w:bottom w:val="single" w:color="DDDDDD" w:sz="1"/>
              <w:right w:val="single" w:color="DDDDDD" w:sz="1"/>
            </w:tcBorders>
            <w:shd w:fill="F0FAF6" w:val="clear"/>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1</w:t>
            </w:r>
          </w:p>
        </w:tc>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Data ingestion</w:t>
            </w:r>
          </w:p>
        </w:tc>
        <w:tc>
          <w:tcPr>
            <w:tcW w:type="dxa" w:w="53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Live MT5 tick stream, candle builder, news scraper, economic calendar</w:t>
            </w:r>
          </w:p>
        </w:tc>
      </w:tr>
      <w:tr>
        <w:tc>
          <w:tcPr>
            <w:tcW w:type="dxa" w:w="1800"/>
            <w:tcBorders>
              <w:top w:val="single" w:color="DDDDDD" w:sz="1"/>
              <w:left w:val="single" w:color="DDDDDD" w:sz="1"/>
              <w:bottom w:val="single" w:color="DDDDDD" w:sz="1"/>
              <w:right w:val="single" w:color="DDDDDD" w:sz="1"/>
            </w:tcBorders>
            <w:shd w:fill="F0FAF6" w:val="clear"/>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2</w:t>
            </w:r>
          </w:p>
        </w:tc>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Setup detection</w:t>
            </w:r>
          </w:p>
        </w:tc>
        <w:tc>
          <w:tcPr>
            <w:tcW w:type="dxa" w:w="53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All 5 trading concept scanners fire on every closed candle; confluence scorer</w:t>
            </w:r>
          </w:p>
        </w:tc>
      </w:tr>
      <w:tr>
        <w:tc>
          <w:tcPr>
            <w:tcW w:type="dxa" w:w="1800"/>
            <w:tcBorders>
              <w:top w:val="single" w:color="DDDDDD" w:sz="1"/>
              <w:left w:val="single" w:color="DDDDDD" w:sz="1"/>
              <w:bottom w:val="single" w:color="DDDDDD" w:sz="1"/>
              <w:right w:val="single" w:color="DDDDDD" w:sz="1"/>
            </w:tcBorders>
            <w:shd w:fill="F0FAF6" w:val="clear"/>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3</w:t>
            </w:r>
          </w:p>
        </w:tc>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LLM council</w:t>
            </w:r>
          </w:p>
        </w:tc>
        <w:tc>
          <w:tcPr>
            <w:tcW w:type="dxa" w:w="53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Ollama + Groq + Gemini reason in parallel; consensus check before proceeding</w:t>
            </w:r>
          </w:p>
        </w:tc>
      </w:tr>
      <w:tr>
        <w:tc>
          <w:tcPr>
            <w:tcW w:type="dxa" w:w="1800"/>
            <w:tcBorders>
              <w:top w:val="single" w:color="DDDDDD" w:sz="1"/>
              <w:left w:val="single" w:color="DDDDDD" w:sz="1"/>
              <w:bottom w:val="single" w:color="DDDDDD" w:sz="1"/>
              <w:right w:val="single" w:color="DDDDDD" w:sz="1"/>
            </w:tcBorders>
            <w:shd w:fill="F0FAF6" w:val="clear"/>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4</w:t>
            </w:r>
          </w:p>
        </w:tc>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Order placement</w:t>
            </w:r>
          </w:p>
        </w:tc>
        <w:tc>
          <w:tcPr>
            <w:tcW w:type="dxa" w:w="53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Selects market/limit/stop order type based on price-to-zone relationship; places on MT5</w:t>
            </w:r>
          </w:p>
        </w:tc>
      </w:tr>
      <w:tr>
        <w:tc>
          <w:tcPr>
            <w:tcW w:type="dxa" w:w="1800"/>
            <w:tcBorders>
              <w:top w:val="single" w:color="DDDDDD" w:sz="1"/>
              <w:left w:val="single" w:color="DDDDDD" w:sz="1"/>
              <w:bottom w:val="single" w:color="DDDDDD" w:sz="1"/>
              <w:right w:val="single" w:color="DDDDDD" w:sz="1"/>
            </w:tcBorders>
            <w:shd w:fill="F0FAF6" w:val="clear"/>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5</w:t>
            </w:r>
          </w:p>
        </w:tc>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Trade management</w:t>
            </w:r>
          </w:p>
        </w:tc>
        <w:tc>
          <w:tcPr>
            <w:tcW w:type="dxa" w:w="53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Monitors open trades tick-by-tick; moves SL to breakeven, partial TP, trailing stop</w:t>
            </w:r>
          </w:p>
        </w:tc>
      </w:tr>
      <w:tr>
        <w:tc>
          <w:tcPr>
            <w:tcW w:type="dxa" w:w="1800"/>
            <w:tcBorders>
              <w:top w:val="single" w:color="DDDDDD" w:sz="1"/>
              <w:left w:val="single" w:color="DDDDDD" w:sz="1"/>
              <w:bottom w:val="single" w:color="DDDDDD" w:sz="1"/>
              <w:right w:val="single" w:color="DDDDDD" w:sz="1"/>
            </w:tcBorders>
            <w:shd w:fill="F0FAF6" w:val="clear"/>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6</w:t>
            </w:r>
          </w:p>
        </w:tc>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Evaluation loop</w:t>
            </w:r>
          </w:p>
        </w:tc>
        <w:tc>
          <w:tcPr>
            <w:tcW w:type="dxa" w:w="53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Post-trade LLM review writes lessons; lessons injected into future prompts; accuracy gate</w:t>
            </w:r>
          </w:p>
        </w:tc>
      </w:tr>
    </w:tbl>
    <w:p>
      <w:pPr>
        <w:spacing w:before="200" w:after="0"/>
      </w:pPr>
    </w:p>
    <w:p>
      <w:pPr>
        <w:pBdr>
          <w:bottom w:val="single" w:color="DDDDDD" w:sz="2" w:space="1"/>
        </w:pBdr>
        <w:spacing w:before="200" w:after="200"/>
      </w:pPr>
      <w:r>
        <w:rPr>
          <w:rFonts w:ascii="Arial" w:cs="Arial" w:eastAsia="Arial" w:hAnsi="Arial"/>
          <w:sz w:val="4"/>
          <w:szCs w:val="4"/>
        </w:rPr>
        <w:t xml:space="preserve"/>
      </w:r>
    </w:p>
    <w:p>
      <w:pPr>
        <w:pStyle w:val="Heading1"/>
        <w:pBdr>
          <w:bottom w:val="single" w:color="1D9E75" w:sz="8" w:space="4"/>
        </w:pBdr>
        <w:spacing w:before="400" w:after="200"/>
      </w:pPr>
      <w:r>
        <w:rPr>
          <w:rFonts w:ascii="Arial" w:cs="Arial" w:eastAsia="Arial" w:hAnsi="Arial"/>
          <w:b/>
          <w:bCs/>
          <w:color w:val="0d1a14"/>
          <w:sz w:val="36"/>
          <w:szCs w:val="36"/>
        </w:rPr>
        <w:t xml:space="preserve">4. Trading Concepts Engine</w:t>
      </w:r>
    </w:p>
    <w:p>
      <w:pPr>
        <w:spacing w:before="0" w:after="160"/>
        <w:jc w:val="left"/>
      </w:pPr>
      <w:r>
        <w:rPr>
          <w:rFonts w:ascii="Arial" w:cs="Arial" w:eastAsia="Arial" w:hAnsi="Arial"/>
          <w:b w:val="false"/>
          <w:bCs w:val="false"/>
          <w:i w:val="false"/>
          <w:iCs w:val="false"/>
          <w:color w:val="111111"/>
          <w:sz w:val="22"/>
          <w:szCs w:val="22"/>
        </w:rPr>
        <w:t xml:space="preserve">APEX does not rely on a single trading methodology. It implements six independent analysis modules, each scanning for setups from a different theoretical perspective. A trade is only considered when multiple modules agree — creating genuine confluence.</w:t>
      </w:r>
    </w:p>
    <w:p>
      <w:pPr>
        <w:pStyle w:val="Heading2"/>
        <w:spacing w:before="300" w:after="140"/>
      </w:pPr>
      <w:r>
        <w:rPr>
          <w:rFonts w:ascii="Arial" w:cs="Arial" w:eastAsia="Arial" w:hAnsi="Arial"/>
          <w:b/>
          <w:bCs/>
          <w:color w:val="0F6E56"/>
          <w:sz w:val="28"/>
          <w:szCs w:val="28"/>
        </w:rPr>
        <w:t xml:space="preserve">4.1 Smart Money Concepts (SMC)</w:t>
      </w:r>
    </w:p>
    <w:p>
      <w:pPr>
        <w:spacing w:before="0" w:after="80"/>
        <w:jc w:val="left"/>
      </w:pPr>
      <w:r>
        <w:rPr>
          <w:rFonts w:ascii="Arial" w:cs="Arial" w:eastAsia="Arial" w:hAnsi="Arial"/>
          <w:b w:val="false"/>
          <w:bCs w:val="false"/>
          <w:i w:val="false"/>
          <w:iCs w:val="false"/>
          <w:color w:val="111111"/>
          <w:sz w:val="22"/>
          <w:szCs w:val="22"/>
        </w:rPr>
        <w:t xml:space="preserve">SMC is the primary structural framework. It models the market as driven by institutional ("smart money") participants. APEX identifies:</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Order Blocks (OB): The last bearish candle before a bullish impulse (or vice versa), representing institutional accumulation zones.</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Fair Value Gaps (FVG): Three-candle imbalances where price moved too fast, creating zones price will likely return to fill.</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Breaker Blocks: Former order blocks that have been invalidated and now act as opposing supply/demand.</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Liquidity Sweeps: Price movements that engineer liquidity by taking out stop-loss clusters above swing highs or below swing lows.</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Market Structure: Break of Structure (BOS) confirms trend continuation; Change of Character (CHoCH) signals potential reversal.</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Killzones: The London Open (07:00–09:00 UTC), New York Open (13:00–15:00 UTC), and Asian session — periods of elevated institutional activity.</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Power of 3 (AMD): Accumulation, Manipulation, Distribution — the three-phase intraday cycle observed in liquid markets.</w:t>
      </w:r>
    </w:p>
    <w:p>
      <w:pPr>
        <w:pStyle w:val="Heading2"/>
        <w:spacing w:before="300" w:after="140"/>
      </w:pPr>
      <w:r>
        <w:rPr>
          <w:rFonts w:ascii="Arial" w:cs="Arial" w:eastAsia="Arial" w:hAnsi="Arial"/>
          <w:b/>
          <w:bCs/>
          <w:color w:val="0F6E56"/>
          <w:sz w:val="28"/>
          <w:szCs w:val="28"/>
        </w:rPr>
        <w:t xml:space="preserve">4.2 Technical Analysis</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Exponential Moving Averages (EMA 20/50/200): Trend direction and dynamic support/resistance.</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RSI (14): Overbought/oversold conditions and divergence signals.</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MACD: Momentum shifts and histogram divergence.</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Bollinger Bands: Volatility contraction preceding breakouts.</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Fibonacci Retracement (0.382, 0.5, 0.618, 0.786): Key retracement levels aligning with SMC zones.</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Volume Analysis: Confirmation of breakouts and reversals via volume spike detection.</w:t>
      </w:r>
    </w:p>
    <w:p>
      <w:pPr>
        <w:pStyle w:val="Heading2"/>
        <w:spacing w:before="300" w:after="140"/>
      </w:pPr>
      <w:r>
        <w:rPr>
          <w:rFonts w:ascii="Arial" w:cs="Arial" w:eastAsia="Arial" w:hAnsi="Arial"/>
          <w:b/>
          <w:bCs/>
          <w:color w:val="0F6E56"/>
          <w:sz w:val="28"/>
          <w:szCs w:val="28"/>
        </w:rPr>
        <w:t xml:space="preserve">4.3 Price Action</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Pin Bars / Rejection Wicks: Long wicks at key levels signalling rejection.</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Engulfing Candles: Full body engulfment of prior candle at structure.</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Inside Bars: Consolidation patterns preceding directional moves.</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Doji Patterns: Indecision at key levels — valid entry signal when combined with structure.</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Multi-timeframe entry: Higher timeframe sets directional bias; lower timeframe provides precision entry.</w:t>
      </w:r>
    </w:p>
    <w:p>
      <w:pPr>
        <w:pStyle w:val="Heading2"/>
        <w:spacing w:before="300" w:after="140"/>
      </w:pPr>
      <w:r>
        <w:rPr>
          <w:rFonts w:ascii="Arial" w:cs="Arial" w:eastAsia="Arial" w:hAnsi="Arial"/>
          <w:b/>
          <w:bCs/>
          <w:color w:val="0F6E56"/>
          <w:sz w:val="28"/>
          <w:szCs w:val="28"/>
        </w:rPr>
        <w:t xml:space="preserve">4.4 Wyckoff Method</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Accumulation Phases (A–E): Sideways consolidation where smart money absorbs supply before mark-up.</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Distribution Phases: Consolidation where smart money offloads positions before mark-down.</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Spring: A shakeout below support in late accumulation — one of the highest-probability entry signals.</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Upthrust (UT/UTAD): A false breakout above resistance in distribution.</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Cause and Effect: The width/depth of the trading range determines the extent of the subsequent move.</w:t>
      </w:r>
    </w:p>
    <w:p>
      <w:pPr>
        <w:pStyle w:val="Heading2"/>
        <w:spacing w:before="300" w:after="140"/>
      </w:pPr>
      <w:r>
        <w:rPr>
          <w:rFonts w:ascii="Arial" w:cs="Arial" w:eastAsia="Arial" w:hAnsi="Arial"/>
          <w:b/>
          <w:bCs/>
          <w:color w:val="0F6E56"/>
          <w:sz w:val="28"/>
          <w:szCs w:val="28"/>
        </w:rPr>
        <w:t xml:space="preserve">4.5 Fundamental Analysis</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News Sentiment Scoring: Each headline is scored -1.0 to +1.0 for market impact using the Groq LLM.</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Economic Calendar: ForexFactory XML feed provides event name, currency, impact level, forecast vs actual.</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Central Bank Bias: Hawkish/dovish stance extracted from news and mapped to currency strength.</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DXY Correlation: Dollar index strength cross-checked against USD pairs for directional confirmation.</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Risk-on / Risk-off: Macro environment classification affects JPY, Gold, and index positions.</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News Blackout Window: No new orders placed within 2 hours of a red (high-impact) news event.</w:t>
      </w:r>
    </w:p>
    <w:p>
      <w:pPr>
        <w:pStyle w:val="Heading2"/>
        <w:spacing w:before="300" w:after="140"/>
      </w:pPr>
      <w:r>
        <w:rPr>
          <w:rFonts w:ascii="Arial" w:cs="Arial" w:eastAsia="Arial" w:hAnsi="Arial"/>
          <w:b/>
          <w:bCs/>
          <w:color w:val="0F6E56"/>
          <w:sz w:val="28"/>
          <w:szCs w:val="28"/>
        </w:rPr>
        <w:t xml:space="preserve">4.6 Confluence Scoring</w:t>
      </w:r>
    </w:p>
    <w:p>
      <w:pPr>
        <w:spacing w:before="0" w:after="120"/>
        <w:jc w:val="left"/>
      </w:pPr>
      <w:r>
        <w:rPr>
          <w:rFonts w:ascii="Arial" w:cs="Arial" w:eastAsia="Arial" w:hAnsi="Arial"/>
          <w:b w:val="false"/>
          <w:bCs w:val="false"/>
          <w:i w:val="false"/>
          <w:iCs w:val="false"/>
          <w:color w:val="111111"/>
          <w:sz w:val="22"/>
          <w:szCs w:val="22"/>
        </w:rPr>
        <w:t xml:space="preserve">Each module outputs a signal: BULLISH, BEARISH, or NEUTRAL for the current setup. The confluence scorer counts aligned signals. A minimum score of 3 out of 5 modules must agree before the LLM council is called. This prevents the system from acting on low-quality, single-concept setups.</w:t>
      </w:r>
    </w:p>
    <w:p>
      <w:pPr>
        <w:pBdr>
          <w:bottom w:val="single" w:color="DDDDDD" w:sz="2" w:space="1"/>
        </w:pBdr>
        <w:spacing w:before="200" w:after="200"/>
      </w:pPr>
      <w:r>
        <w:rPr>
          <w:rFonts w:ascii="Arial" w:cs="Arial" w:eastAsia="Arial" w:hAnsi="Arial"/>
          <w:sz w:val="4"/>
          <w:szCs w:val="4"/>
        </w:rPr>
        <w:t xml:space="preserve"/>
      </w:r>
    </w:p>
    <w:p>
      <w:pPr>
        <w:pStyle w:val="Heading1"/>
        <w:pBdr>
          <w:bottom w:val="single" w:color="1D9E75" w:sz="8" w:space="4"/>
        </w:pBdr>
        <w:spacing w:before="400" w:after="200"/>
      </w:pPr>
      <w:r>
        <w:rPr>
          <w:rFonts w:ascii="Arial" w:cs="Arial" w:eastAsia="Arial" w:hAnsi="Arial"/>
          <w:b/>
          <w:bCs/>
          <w:color w:val="0d1a14"/>
          <w:sz w:val="36"/>
          <w:szCs w:val="36"/>
        </w:rPr>
        <w:t xml:space="preserve">5. LLM Council Architecture</w:t>
      </w:r>
    </w:p>
    <w:p>
      <w:pPr>
        <w:spacing w:before="0" w:after="160"/>
        <w:jc w:val="left"/>
      </w:pPr>
      <w:r>
        <w:rPr>
          <w:rFonts w:ascii="Arial" w:cs="Arial" w:eastAsia="Arial" w:hAnsi="Arial"/>
          <w:b w:val="false"/>
          <w:bCs w:val="false"/>
          <w:i w:val="false"/>
          <w:iCs w:val="false"/>
          <w:color w:val="111111"/>
          <w:sz w:val="22"/>
          <w:szCs w:val="22"/>
        </w:rPr>
        <w:t xml:space="preserve">The LLM Council is APEX's reasoning layer. Rather than relying on a single AI model, APEX uses three independent models with different roles. A trade is only placed when at least two of three models agree on direction.</w:t>
      </w:r>
    </w:p>
    <w:p>
      <w:pPr>
        <w:pStyle w:val="Heading2"/>
        <w:spacing w:before="300" w:after="140"/>
      </w:pPr>
      <w:r>
        <w:rPr>
          <w:rFonts w:ascii="Arial" w:cs="Arial" w:eastAsia="Arial" w:hAnsi="Arial"/>
          <w:b/>
          <w:bCs/>
          <w:color w:val="0F6E56"/>
          <w:sz w:val="28"/>
          <w:szCs w:val="28"/>
        </w:rPr>
        <w:t xml:space="preserve">5.1 Council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0F6E56" w:sz="1"/>
              <w:left w:val="single" w:color="0F6E56" w:sz="1"/>
              <w:bottom w:val="single" w:color="0F6E56" w:sz="1"/>
              <w:right w:val="single" w:color="0F6E56" w:sz="1"/>
            </w:tcBorders>
            <w:shd w:fill="0F6E56" w:val="clear"/>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FFFFFF"/>
                <w:sz w:val="20"/>
                <w:szCs w:val="20"/>
              </w:rPr>
              <w:t xml:space="preserve">Model</w:t>
            </w:r>
          </w:p>
        </w:tc>
        <w:tc>
          <w:tcPr>
            <w:tcW w:type="dxa" w:w="1800"/>
            <w:tcBorders>
              <w:top w:val="single" w:color="0F6E56" w:sz="1"/>
              <w:left w:val="single" w:color="0F6E56" w:sz="1"/>
              <w:bottom w:val="single" w:color="0F6E56" w:sz="1"/>
              <w:right w:val="single" w:color="0F6E56" w:sz="1"/>
            </w:tcBorders>
            <w:shd w:fill="0F6E56" w:val="clear"/>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FFFFFF"/>
                <w:sz w:val="20"/>
                <w:szCs w:val="20"/>
              </w:rPr>
              <w:t xml:space="preserve">Provider</w:t>
            </w:r>
          </w:p>
        </w:tc>
        <w:tc>
          <w:tcPr>
            <w:tcW w:type="dxa" w:w="1600"/>
            <w:tcBorders>
              <w:top w:val="single" w:color="0F6E56" w:sz="1"/>
              <w:left w:val="single" w:color="0F6E56" w:sz="1"/>
              <w:bottom w:val="single" w:color="0F6E56" w:sz="1"/>
              <w:right w:val="single" w:color="0F6E56" w:sz="1"/>
            </w:tcBorders>
            <w:shd w:fill="0F6E56" w:val="clear"/>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FFFFFF"/>
                <w:sz w:val="20"/>
                <w:szCs w:val="20"/>
              </w:rPr>
              <w:t xml:space="preserve">Cost</w:t>
            </w:r>
          </w:p>
        </w:tc>
        <w:tc>
          <w:tcPr>
            <w:tcW w:type="dxa" w:w="3760"/>
            <w:tcBorders>
              <w:top w:val="single" w:color="0F6E56" w:sz="1"/>
              <w:left w:val="single" w:color="0F6E56" w:sz="1"/>
              <w:bottom w:val="single" w:color="0F6E56" w:sz="1"/>
              <w:right w:val="single" w:color="0F6E56" w:sz="1"/>
            </w:tcBorders>
            <w:shd w:fill="0F6E56" w:val="clear"/>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FFFFFF"/>
                <w:sz w:val="20"/>
                <w:szCs w:val="20"/>
              </w:rPr>
              <w:t xml:space="preserve">Role</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Qwen2.5:14b / Llama3.1:8b</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Ollama (local)</w:t>
            </w:r>
          </w:p>
        </w:tc>
        <w:tc>
          <w:tcPr>
            <w:tcW w:type="dxa" w:w="16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D9E75"/>
                <w:sz w:val="20"/>
                <w:szCs w:val="20"/>
              </w:rPr>
              <w:t xml:space="preserve">Free (local)</w:t>
            </w:r>
          </w:p>
        </w:tc>
        <w:tc>
          <w:tcPr>
            <w:tcW w:type="dxa" w:w="37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Primary analyst — SMC structure, Wyckoff, trade plan, post-trade lessons</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Llama3.1:70b</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Groq (free tier)</w:t>
            </w:r>
          </w:p>
        </w:tc>
        <w:tc>
          <w:tcPr>
            <w:tcW w:type="dxa" w:w="16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D9E75"/>
                <w:sz w:val="20"/>
                <w:szCs w:val="20"/>
              </w:rPr>
              <w:t xml:space="preserve">Free tier</w:t>
            </w:r>
          </w:p>
        </w:tc>
        <w:tc>
          <w:tcPr>
            <w:tcW w:type="dxa" w:w="37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News sentiment, macro bias, economic calendar interpretation</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Gemini 1.5 Flash</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Google (free tier)</w:t>
            </w:r>
          </w:p>
        </w:tc>
        <w:tc>
          <w:tcPr>
            <w:tcW w:type="dxa" w:w="16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D9E75"/>
                <w:sz w:val="20"/>
                <w:szCs w:val="20"/>
              </w:rPr>
              <w:t xml:space="preserve">Free tier</w:t>
            </w:r>
          </w:p>
        </w:tc>
        <w:tc>
          <w:tcPr>
            <w:tcW w:type="dxa" w:w="37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Cross-validator — challenges the trade plan, final approval gate</w:t>
            </w:r>
          </w:p>
        </w:tc>
      </w:tr>
    </w:tbl>
    <w:p>
      <w:pPr>
        <w:spacing w:before="200" w:after="0"/>
      </w:pPr>
    </w:p>
    <w:p>
      <w:pPr>
        <w:pStyle w:val="Heading2"/>
        <w:spacing w:before="300" w:after="140"/>
      </w:pPr>
      <w:r>
        <w:rPr>
          <w:rFonts w:ascii="Arial" w:cs="Arial" w:eastAsia="Arial" w:hAnsi="Arial"/>
          <w:b/>
          <w:bCs/>
          <w:color w:val="0F6E56"/>
          <w:sz w:val="28"/>
          <w:szCs w:val="28"/>
        </w:rPr>
        <w:t xml:space="preserve">5.2 Consensus Logic</w:t>
      </w:r>
    </w:p>
    <w:p>
      <w:pPr>
        <w:spacing w:before="0" w:after="80"/>
        <w:jc w:val="left"/>
      </w:pPr>
      <w:r>
        <w:rPr>
          <w:rFonts w:ascii="Arial" w:cs="Arial" w:eastAsia="Arial" w:hAnsi="Arial"/>
          <w:b w:val="false"/>
          <w:bCs w:val="false"/>
          <w:i w:val="false"/>
          <w:iCs w:val="false"/>
          <w:color w:val="111111"/>
          <w:sz w:val="22"/>
          <w:szCs w:val="22"/>
        </w:rPr>
        <w:t xml:space="preserve">The following rules govern when a trade proceeds to execution:</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3/3 agree (BUY or SELL): Strong signal — trade placed at full configured risk size.</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2/3 agree, 1 neutral: Trade placed at 50% of configured risk size.</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2/3 disagree (one BUY, one SELL): No trade — conflicting signals logged to journal.</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Any model flags high-impact news within 2 hours: No trade — placed in watchlist for post-news review.</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Gemini unavailable (quota exceeded): Proceed on Ollama + Groq agreement (2/2).</w:t>
      </w:r>
    </w:p>
    <w:p>
      <w:pPr>
        <w:pStyle w:val="Heading2"/>
        <w:spacing w:before="300" w:after="140"/>
      </w:pPr>
      <w:r>
        <w:rPr>
          <w:rFonts w:ascii="Arial" w:cs="Arial" w:eastAsia="Arial" w:hAnsi="Arial"/>
          <w:b/>
          <w:bCs/>
          <w:color w:val="0F6E56"/>
          <w:sz w:val="28"/>
          <w:szCs w:val="28"/>
        </w:rPr>
        <w:t xml:space="preserve">5.3 Prompt Architecture</w:t>
      </w:r>
    </w:p>
    <w:p>
      <w:pPr>
        <w:spacing w:before="0" w:after="80"/>
        <w:jc w:val="left"/>
      </w:pPr>
      <w:r>
        <w:rPr>
          <w:rFonts w:ascii="Arial" w:cs="Arial" w:eastAsia="Arial" w:hAnsi="Arial"/>
          <w:b w:val="false"/>
          <w:bCs w:val="false"/>
          <w:i w:val="false"/>
          <w:iCs w:val="false"/>
          <w:color w:val="111111"/>
          <w:sz w:val="22"/>
          <w:szCs w:val="22"/>
        </w:rPr>
        <w:t xml:space="preserve">Each LLM receives a structured prompt containing:</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Symbol, timeframe, session, and current market structure summary</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Confluence score and contributing modules</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Last 5 candles' OHLCV data formatted as a table</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Identified zones (OB levels, FVG ranges, liquidity levels)</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Current news headlines and sentiment scores</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Upcoming economic events in the next 4 hours</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Last 10 trade lessons from the journal (self-improvement context)</w:t>
      </w:r>
    </w:p>
    <w:p>
      <w:pPr>
        <w:spacing w:before="0" w:after="120"/>
        <w:jc w:val="left"/>
      </w:pPr>
      <w:r>
        <w:rPr>
          <w:rFonts w:ascii="Arial" w:cs="Arial" w:eastAsia="Arial" w:hAnsi="Arial"/>
          <w:b w:val="false"/>
          <w:bCs w:val="false"/>
          <w:i w:val="false"/>
          <w:iCs w:val="false"/>
          <w:color w:val="111111"/>
          <w:sz w:val="22"/>
          <w:szCs w:val="22"/>
        </w:rPr>
        <w:t xml:space="preserve">The model is asked to respond with a structured JSON object: direction, entry zone, stop loss, take profit, confidence (0–100), and a brief written rationale.</w:t>
      </w:r>
    </w:p>
    <w:p>
      <w:pPr>
        <w:pBdr>
          <w:bottom w:val="single" w:color="DDDDDD" w:sz="2" w:space="1"/>
        </w:pBdr>
        <w:spacing w:before="200" w:after="200"/>
      </w:pPr>
      <w:r>
        <w:rPr>
          <w:rFonts w:ascii="Arial" w:cs="Arial" w:eastAsia="Arial" w:hAnsi="Arial"/>
          <w:sz w:val="4"/>
          <w:szCs w:val="4"/>
        </w:rPr>
        <w:t xml:space="preserve"/>
      </w:r>
    </w:p>
    <w:p>
      <w:pPr>
        <w:pStyle w:val="Heading1"/>
        <w:pBdr>
          <w:bottom w:val="single" w:color="1D9E75" w:sz="8" w:space="4"/>
        </w:pBdr>
        <w:spacing w:before="400" w:after="200"/>
      </w:pPr>
      <w:r>
        <w:rPr>
          <w:rFonts w:ascii="Arial" w:cs="Arial" w:eastAsia="Arial" w:hAnsi="Arial"/>
          <w:b/>
          <w:bCs/>
          <w:color w:val="0d1a14"/>
          <w:sz w:val="36"/>
          <w:szCs w:val="36"/>
        </w:rPr>
        <w:t xml:space="preserve">6. Real-Time Chart Watching</w:t>
      </w:r>
    </w:p>
    <w:p>
      <w:pPr>
        <w:spacing w:before="0" w:after="160"/>
        <w:jc w:val="left"/>
      </w:pPr>
      <w:r>
        <w:rPr>
          <w:rFonts w:ascii="Arial" w:cs="Arial" w:eastAsia="Arial" w:hAnsi="Arial"/>
          <w:b w:val="false"/>
          <w:bCs w:val="false"/>
          <w:i w:val="false"/>
          <w:iCs w:val="false"/>
          <w:color w:val="111111"/>
          <w:sz w:val="22"/>
          <w:szCs w:val="22"/>
        </w:rPr>
        <w:t xml:space="preserve">APEX's watcher is a persistent, always-on process. It never polls on a fixed schedule — it reacts to market events.</w:t>
      </w:r>
    </w:p>
    <w:p>
      <w:pPr>
        <w:pStyle w:val="Heading2"/>
        <w:spacing w:before="300" w:after="140"/>
      </w:pPr>
      <w:r>
        <w:rPr>
          <w:rFonts w:ascii="Arial" w:cs="Arial" w:eastAsia="Arial" w:hAnsi="Arial"/>
          <w:b/>
          <w:bCs/>
          <w:color w:val="0F6E56"/>
          <w:sz w:val="28"/>
          <w:szCs w:val="28"/>
        </w:rPr>
        <w:t xml:space="preserve">6.1 Tick Stream</w:t>
      </w:r>
    </w:p>
    <w:p>
      <w:pPr>
        <w:spacing w:before="0" w:after="120"/>
        <w:jc w:val="left"/>
      </w:pPr>
      <w:r>
        <w:rPr>
          <w:rFonts w:ascii="Arial" w:cs="Arial" w:eastAsia="Arial" w:hAnsi="Arial"/>
          <w:b w:val="false"/>
          <w:bCs w:val="false"/>
          <w:i w:val="false"/>
          <w:iCs w:val="false"/>
          <w:color w:val="111111"/>
          <w:sz w:val="22"/>
          <w:szCs w:val="22"/>
        </w:rPr>
        <w:t xml:space="preserve">The MT5 Python bridge subscribes to live tick data for every watched symbol at ~100ms intervals. Each tick updates the internal candle builder for all six timeframes: M1, M5, M15, H1, H4, and D1.</w:t>
      </w:r>
    </w:p>
    <w:p>
      <w:pPr>
        <w:pStyle w:val="Heading2"/>
        <w:spacing w:before="300" w:after="140"/>
      </w:pPr>
      <w:r>
        <w:rPr>
          <w:rFonts w:ascii="Arial" w:cs="Arial" w:eastAsia="Arial" w:hAnsi="Arial"/>
          <w:b/>
          <w:bCs/>
          <w:color w:val="0F6E56"/>
          <w:sz w:val="28"/>
          <w:szCs w:val="28"/>
        </w:rPr>
        <w:t xml:space="preserve">6.2 Candle Close Events</w:t>
      </w:r>
    </w:p>
    <w:p>
      <w:pPr>
        <w:spacing w:before="0" w:after="120"/>
        <w:jc w:val="left"/>
      </w:pPr>
      <w:r>
        <w:rPr>
          <w:rFonts w:ascii="Arial" w:cs="Arial" w:eastAsia="Arial" w:hAnsi="Arial"/>
          <w:b w:val="false"/>
          <w:bCs w:val="false"/>
          <w:i w:val="false"/>
          <w:iCs w:val="false"/>
          <w:color w:val="111111"/>
          <w:sz w:val="22"/>
          <w:szCs w:val="22"/>
        </w:rPr>
        <w:t xml:space="preserve">When a candle closes on any timeframe, the detection engine fires for that symbol-timeframe pair. Higher timeframes (H4, D1) carry more weight in the confluence score — a signal on H4 counts as 1.5x a signal on M15.</w:t>
      </w:r>
    </w:p>
    <w:p>
      <w:pPr>
        <w:pStyle w:val="Heading2"/>
        <w:spacing w:before="300" w:after="140"/>
      </w:pPr>
      <w:r>
        <w:rPr>
          <w:rFonts w:ascii="Arial" w:cs="Arial" w:eastAsia="Arial" w:hAnsi="Arial"/>
          <w:b/>
          <w:bCs/>
          <w:color w:val="0F6E56"/>
          <w:sz w:val="28"/>
          <w:szCs w:val="28"/>
        </w:rPr>
        <w:t xml:space="preserve">6.3 Multi-Symbol Parallelism</w:t>
      </w:r>
    </w:p>
    <w:p>
      <w:pPr>
        <w:spacing w:before="0" w:after="160"/>
        <w:jc w:val="left"/>
      </w:pPr>
      <w:r>
        <w:rPr>
          <w:rFonts w:ascii="Arial" w:cs="Arial" w:eastAsia="Arial" w:hAnsi="Arial"/>
          <w:b w:val="false"/>
          <w:bCs w:val="false"/>
          <w:i w:val="false"/>
          <w:iCs w:val="false"/>
          <w:color w:val="111111"/>
          <w:sz w:val="22"/>
          <w:szCs w:val="22"/>
        </w:rPr>
        <w:t xml:space="preserve">Each symbol runs its own independent detection pipeline. APEX watches all configured symbols simultaneously using Node.js event-driven architecture — no symbol blocks another.</w:t>
      </w:r>
    </w:p>
    <w:p>
      <w:pPr>
        <w:pBdr>
          <w:bottom w:val="single" w:color="DDDDDD" w:sz="2" w:space="1"/>
        </w:pBdr>
        <w:spacing w:before="200" w:after="200"/>
      </w:pPr>
      <w:r>
        <w:rPr>
          <w:rFonts w:ascii="Arial" w:cs="Arial" w:eastAsia="Arial" w:hAnsi="Arial"/>
          <w:sz w:val="4"/>
          <w:szCs w:val="4"/>
        </w:rPr>
        <w:t xml:space="preserve"/>
      </w:r>
    </w:p>
    <w:p>
      <w:pPr>
        <w:pStyle w:val="Heading1"/>
        <w:pBdr>
          <w:bottom w:val="single" w:color="1D9E75" w:sz="8" w:space="4"/>
        </w:pBdr>
        <w:spacing w:before="400" w:after="200"/>
      </w:pPr>
      <w:r>
        <w:rPr>
          <w:rFonts w:ascii="Arial" w:cs="Arial" w:eastAsia="Arial" w:hAnsi="Arial"/>
          <w:b/>
          <w:bCs/>
          <w:color w:val="0d1a14"/>
          <w:sz w:val="36"/>
          <w:szCs w:val="36"/>
        </w:rPr>
        <w:t xml:space="preserve">7. Smart Order Placement</w:t>
      </w:r>
    </w:p>
    <w:p>
      <w:pPr>
        <w:spacing w:before="0" w:after="160"/>
        <w:jc w:val="left"/>
      </w:pPr>
      <w:r>
        <w:rPr>
          <w:rFonts w:ascii="Arial" w:cs="Arial" w:eastAsia="Arial" w:hAnsi="Arial"/>
          <w:b w:val="false"/>
          <w:bCs w:val="false"/>
          <w:i w:val="false"/>
          <w:iCs w:val="false"/>
          <w:color w:val="111111"/>
          <w:sz w:val="22"/>
          <w:szCs w:val="22"/>
        </w:rPr>
        <w:t xml:space="preserve">APEX does not blindly place market orders. It evaluates the relationship between current price and the identified setup zone, then selects the most appropriate order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0F6E56" w:sz="1"/>
              <w:left w:val="single" w:color="0F6E56" w:sz="1"/>
              <w:bottom w:val="single" w:color="0F6E56" w:sz="1"/>
              <w:right w:val="single" w:color="0F6E56" w:sz="1"/>
            </w:tcBorders>
            <w:shd w:fill="0F6E56" w:val="clear"/>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FFFFFF"/>
                <w:sz w:val="20"/>
                <w:szCs w:val="20"/>
              </w:rPr>
              <w:t xml:space="preserve">Scenario</w:t>
            </w:r>
          </w:p>
        </w:tc>
        <w:tc>
          <w:tcPr>
            <w:tcW w:type="dxa" w:w="1800"/>
            <w:tcBorders>
              <w:top w:val="single" w:color="0F6E56" w:sz="1"/>
              <w:left w:val="single" w:color="0F6E56" w:sz="1"/>
              <w:bottom w:val="single" w:color="0F6E56" w:sz="1"/>
              <w:right w:val="single" w:color="0F6E56" w:sz="1"/>
            </w:tcBorders>
            <w:shd w:fill="0F6E56" w:val="clear"/>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FFFFFF"/>
                <w:sz w:val="20"/>
                <w:szCs w:val="20"/>
              </w:rPr>
              <w:t xml:space="preserve">Order Type</w:t>
            </w:r>
          </w:p>
        </w:tc>
        <w:tc>
          <w:tcPr>
            <w:tcW w:type="dxa" w:w="5160"/>
            <w:tcBorders>
              <w:top w:val="single" w:color="0F6E56" w:sz="1"/>
              <w:left w:val="single" w:color="0F6E56" w:sz="1"/>
              <w:bottom w:val="single" w:color="0F6E56" w:sz="1"/>
              <w:right w:val="single" w:color="0F6E56" w:sz="1"/>
            </w:tcBorders>
            <w:shd w:fill="0F6E56" w:val="clear"/>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FFFFFF"/>
                <w:sz w:val="20"/>
                <w:szCs w:val="20"/>
              </w:rPr>
              <w:t xml:space="preserve">Logic</w:t>
            </w:r>
          </w:p>
        </w:tc>
      </w:tr>
      <w:tr>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Price inside zone now</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D9E75"/>
                <w:sz w:val="20"/>
                <w:szCs w:val="20"/>
              </w:rPr>
              <w:t xml:space="preserve">MARKET</w:t>
            </w:r>
          </w:p>
        </w:tc>
        <w:tc>
          <w:tcPr>
            <w:tcW w:type="dxa" w:w="5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Immediate execution at current bid/ask. SL placed beyond zone boundary.</w:t>
            </w:r>
          </w:p>
        </w:tc>
      </w:tr>
      <w:tr>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Price approaching zone</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0F6E56"/>
                <w:sz w:val="20"/>
                <w:szCs w:val="20"/>
              </w:rPr>
              <w:t xml:space="preserve">LIMIT</w:t>
            </w:r>
          </w:p>
        </w:tc>
        <w:tc>
          <w:tcPr>
            <w:tcW w:type="dxa" w:w="5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Pre-placed at zone midpoint. Waits for price. Auto-cancelled if zone invalidated.</w:t>
            </w:r>
          </w:p>
        </w:tc>
      </w:tr>
      <w:tr>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Breakout setup</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D68910"/>
                <w:sz w:val="20"/>
                <w:szCs w:val="20"/>
              </w:rPr>
              <w:t xml:space="preserve">STOP</w:t>
            </w:r>
          </w:p>
        </w:tc>
        <w:tc>
          <w:tcPr>
            <w:tcW w:type="dxa" w:w="5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Placed above/below consolidation high/low. Triggers only on confirmed breakout.</w:t>
            </w:r>
          </w:p>
        </w:tc>
      </w:tr>
      <w:tr>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Needs confirmation</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555555"/>
                <w:sz w:val="20"/>
                <w:szCs w:val="20"/>
              </w:rPr>
              <w:t xml:space="preserve">WATCHLIST</w:t>
            </w:r>
          </w:p>
        </w:tc>
        <w:tc>
          <w:tcPr>
            <w:tcW w:type="dxa" w:w="5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Flagged internally. Order placed only on next candle close confirmation.</w:t>
            </w:r>
          </w:p>
        </w:tc>
      </w:tr>
      <w:tr>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News / conflict / low score</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C0392B"/>
                <w:sz w:val="20"/>
                <w:szCs w:val="20"/>
              </w:rPr>
              <w:t xml:space="preserve">SKIP</w:t>
            </w:r>
          </w:p>
        </w:tc>
        <w:tc>
          <w:tcPr>
            <w:tcW w:type="dxa" w:w="5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Setup logged with reason. No order placed. Does not count in win/loss stats.</w:t>
            </w:r>
          </w:p>
        </w:tc>
      </w:tr>
    </w:tbl>
    <w:p>
      <w:pPr>
        <w:spacing w:before="200" w:after="0"/>
      </w:pPr>
    </w:p>
    <w:p>
      <w:pPr>
        <w:pStyle w:val="Heading2"/>
        <w:spacing w:before="300" w:after="140"/>
      </w:pPr>
      <w:r>
        <w:rPr>
          <w:rFonts w:ascii="Arial" w:cs="Arial" w:eastAsia="Arial" w:hAnsi="Arial"/>
          <w:b/>
          <w:bCs/>
          <w:color w:val="0F6E56"/>
          <w:sz w:val="28"/>
          <w:szCs w:val="28"/>
        </w:rPr>
        <w:t xml:space="preserve">7.1 Trade Lifecycle Management</w:t>
      </w:r>
    </w:p>
    <w:p>
      <w:pPr>
        <w:spacing w:before="0" w:after="80"/>
        <w:jc w:val="left"/>
      </w:pPr>
      <w:r>
        <w:rPr>
          <w:rFonts w:ascii="Arial" w:cs="Arial" w:eastAsia="Arial" w:hAnsi="Arial"/>
          <w:b w:val="false"/>
          <w:bCs w:val="false"/>
          <w:i w:val="false"/>
          <w:iCs w:val="false"/>
          <w:color w:val="111111"/>
          <w:sz w:val="22"/>
          <w:szCs w:val="22"/>
        </w:rPr>
        <w:t xml:space="preserve">After order placement, APEX manages every open trade with the following rules:</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Breakeven: Stop loss moved to entry price when trade reaches 1R profit.</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Partial take profit: 50% of position closed at 1.5R. Remainder runs with trailing stop.</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Trailing stop: Activated at 2R. Follows price at a distance of 0.5 ATR.</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Invalidation cancel: If a pending limit/stop order's setup zone is violated by a candle close, the order is cancelled and logged.</w:t>
      </w:r>
    </w:p>
    <w:p>
      <w:pPr>
        <w:pBdr>
          <w:bottom w:val="single" w:color="DDDDDD" w:sz="2" w:space="1"/>
        </w:pBdr>
        <w:spacing w:before="200" w:after="200"/>
      </w:pPr>
      <w:r>
        <w:rPr>
          <w:rFonts w:ascii="Arial" w:cs="Arial" w:eastAsia="Arial" w:hAnsi="Arial"/>
          <w:sz w:val="4"/>
          <w:szCs w:val="4"/>
        </w:rPr>
        <w:t xml:space="preserve"/>
      </w:r>
    </w:p>
    <w:p>
      <w:pPr>
        <w:pStyle w:val="Heading1"/>
        <w:pBdr>
          <w:bottom w:val="single" w:color="1D9E75" w:sz="8" w:space="4"/>
        </w:pBdr>
        <w:spacing w:before="400" w:after="200"/>
      </w:pPr>
      <w:r>
        <w:rPr>
          <w:rFonts w:ascii="Arial" w:cs="Arial" w:eastAsia="Arial" w:hAnsi="Arial"/>
          <w:b/>
          <w:bCs/>
          <w:color w:val="0d1a14"/>
          <w:sz w:val="36"/>
          <w:szCs w:val="36"/>
        </w:rPr>
        <w:t xml:space="preserve">8. Self-Improvement Loop</w:t>
      </w:r>
    </w:p>
    <w:p>
      <w:pPr>
        <w:spacing w:before="0" w:after="160"/>
        <w:jc w:val="left"/>
      </w:pPr>
      <w:r>
        <w:rPr>
          <w:rFonts w:ascii="Arial" w:cs="Arial" w:eastAsia="Arial" w:hAnsi="Arial"/>
          <w:b w:val="false"/>
          <w:bCs w:val="false"/>
          <w:i w:val="false"/>
          <w:iCs w:val="false"/>
          <w:color w:val="111111"/>
          <w:sz w:val="22"/>
          <w:szCs w:val="22"/>
        </w:rPr>
        <w:t xml:space="preserve">APEX does not just execute trades — it learns from them. After every closed trade, the system triggers an automated post-trade review.</w:t>
      </w:r>
    </w:p>
    <w:p>
      <w:pPr>
        <w:pStyle w:val="Heading2"/>
        <w:spacing w:before="300" w:after="140"/>
      </w:pPr>
      <w:r>
        <w:rPr>
          <w:rFonts w:ascii="Arial" w:cs="Arial" w:eastAsia="Arial" w:hAnsi="Arial"/>
          <w:b/>
          <w:bCs/>
          <w:color w:val="0F6E56"/>
          <w:sz w:val="28"/>
          <w:szCs w:val="28"/>
        </w:rPr>
        <w:t xml:space="preserve">8.1 Post-Trade Review Process</w:t>
      </w:r>
    </w:p>
    <w:p>
      <w:pPr>
        <w:pStyle w:val="ListParagraph"/>
        <w:numPr>
          <w:ilvl w:val="0"/>
          <w:numId w:val="3"/>
        </w:numPr>
        <w:spacing w:before="60" w:after="60"/>
        <w:ind w:left="720" w:hanging="360"/>
      </w:pPr>
      <w:r>
        <w:rPr>
          <w:rFonts w:ascii="Arial" w:cs="Arial" w:eastAsia="Arial" w:hAnsi="Arial"/>
          <w:color w:val="111111"/>
          <w:sz w:val="22"/>
          <w:szCs w:val="22"/>
        </w:rPr>
        <w:t xml:space="preserve">Trade closes (SL hit, TP hit, or manual close).</w:t>
      </w:r>
    </w:p>
    <w:p>
      <w:pPr>
        <w:pStyle w:val="ListParagraph"/>
        <w:numPr>
          <w:ilvl w:val="0"/>
          <w:numId w:val="3"/>
        </w:numPr>
        <w:spacing w:before="60" w:after="60"/>
        <w:ind w:left="720" w:hanging="360"/>
      </w:pPr>
      <w:r>
        <w:rPr>
          <w:rFonts w:ascii="Arial" w:cs="Arial" w:eastAsia="Arial" w:hAnsi="Arial"/>
          <w:color w:val="111111"/>
          <w:sz w:val="22"/>
          <w:szCs w:val="22"/>
        </w:rPr>
        <w:t xml:space="preserve">The system assembles a review packet: the original trade plan, entry/exit prices, outcome (P&amp;L), and market conditions at the time.</w:t>
      </w:r>
    </w:p>
    <w:p>
      <w:pPr>
        <w:pStyle w:val="ListParagraph"/>
        <w:numPr>
          <w:ilvl w:val="0"/>
          <w:numId w:val="3"/>
        </w:numPr>
        <w:spacing w:before="60" w:after="60"/>
        <w:ind w:left="720" w:hanging="360"/>
      </w:pPr>
      <w:r>
        <w:rPr>
          <w:rFonts w:ascii="Arial" w:cs="Arial" w:eastAsia="Arial" w:hAnsi="Arial"/>
          <w:color w:val="111111"/>
          <w:sz w:val="22"/>
          <w:szCs w:val="22"/>
        </w:rPr>
        <w:t xml:space="preserve">The packet is sent to the primary Ollama model with a structured prompt asking: what was predicted, what actually happened, what the model got right, what it missed, and what it will do differently next time.</w:t>
      </w:r>
    </w:p>
    <w:p>
      <w:pPr>
        <w:pStyle w:val="ListParagraph"/>
        <w:numPr>
          <w:ilvl w:val="0"/>
          <w:numId w:val="3"/>
        </w:numPr>
        <w:spacing w:before="60" w:after="60"/>
        <w:ind w:left="720" w:hanging="360"/>
      </w:pPr>
      <w:r>
        <w:rPr>
          <w:rFonts w:ascii="Arial" w:cs="Arial" w:eastAsia="Arial" w:hAnsi="Arial"/>
          <w:color w:val="111111"/>
          <w:sz w:val="22"/>
          <w:szCs w:val="22"/>
        </w:rPr>
        <w:t xml:space="preserve">The model's written lesson is stored in the SQLite journal with a timestamp and trade reference.</w:t>
      </w:r>
    </w:p>
    <w:p>
      <w:pPr>
        <w:pStyle w:val="ListParagraph"/>
        <w:numPr>
          <w:ilvl w:val="0"/>
          <w:numId w:val="3"/>
        </w:numPr>
        <w:spacing w:before="60" w:after="60"/>
        <w:ind w:left="720" w:hanging="360"/>
      </w:pPr>
      <w:r>
        <w:rPr>
          <w:rFonts w:ascii="Arial" w:cs="Arial" w:eastAsia="Arial" w:hAnsi="Arial"/>
          <w:color w:val="111111"/>
          <w:sz w:val="22"/>
          <w:szCs w:val="22"/>
        </w:rPr>
        <w:t xml:space="preserve">On the next analysis cycle, the last 10–20 lessons are injected into every LLM prompt as context — making every future decision informed by past experience.</w:t>
      </w:r>
    </w:p>
    <w:p>
      <w:pPr>
        <w:pStyle w:val="Heading2"/>
        <w:spacing w:before="300" w:after="140"/>
      </w:pPr>
      <w:r>
        <w:rPr>
          <w:rFonts w:ascii="Arial" w:cs="Arial" w:eastAsia="Arial" w:hAnsi="Arial"/>
          <w:b/>
          <w:bCs/>
          <w:color w:val="0F6E56"/>
          <w:sz w:val="28"/>
          <w:szCs w:val="28"/>
        </w:rPr>
        <w:t xml:space="preserve">8.2 Memory Architecture</w:t>
      </w:r>
    </w:p>
    <w:p>
      <w:pPr>
        <w:spacing w:before="0" w:after="120"/>
        <w:jc w:val="left"/>
      </w:pPr>
      <w:r>
        <w:rPr>
          <w:rFonts w:ascii="Arial" w:cs="Arial" w:eastAsia="Arial" w:hAnsi="Arial"/>
          <w:b w:val="false"/>
          <w:bCs w:val="false"/>
          <w:i w:val="false"/>
          <w:iCs w:val="false"/>
          <w:color w:val="111111"/>
          <w:sz w:val="22"/>
          <w:szCs w:val="22"/>
        </w:rPr>
        <w:t xml:space="preserve">Lessons are stored as plain text entries in the journal database. They are retrieved in reverse chronological order — most recent lessons carry more weight as they reflect the most current market conditions. There is no fine-tuning or model modification — all learning happens through prompt context injection, making the system instantly improvable and fully transparent.</w:t>
      </w:r>
    </w:p>
    <w:p>
      <w:pPr>
        <w:pBdr>
          <w:bottom w:val="single" w:color="DDDDDD" w:sz="2" w:space="1"/>
        </w:pBdr>
        <w:spacing w:before="200" w:after="200"/>
      </w:pPr>
      <w:r>
        <w:rPr>
          <w:rFonts w:ascii="Arial" w:cs="Arial" w:eastAsia="Arial" w:hAnsi="Arial"/>
          <w:sz w:val="4"/>
          <w:szCs w:val="4"/>
        </w:rPr>
        <w:t xml:space="preserve"/>
      </w:r>
    </w:p>
    <w:p>
      <w:pPr>
        <w:pStyle w:val="Heading1"/>
        <w:pBdr>
          <w:bottom w:val="single" w:color="1D9E75" w:sz="8" w:space="4"/>
        </w:pBdr>
        <w:spacing w:before="400" w:after="200"/>
      </w:pPr>
      <w:r>
        <w:rPr>
          <w:rFonts w:ascii="Arial" w:cs="Arial" w:eastAsia="Arial" w:hAnsi="Arial"/>
          <w:b/>
          <w:bCs/>
          <w:color w:val="0d1a14"/>
          <w:sz w:val="36"/>
          <w:szCs w:val="36"/>
        </w:rPr>
        <w:t xml:space="preserve">9. Accuracy Gate — Demo to Live Transition</w:t>
      </w:r>
    </w:p>
    <w:p>
      <w:pPr>
        <w:spacing w:before="0" w:after="160"/>
        <w:jc w:val="left"/>
      </w:pPr>
      <w:r>
        <w:rPr>
          <w:rFonts w:ascii="Arial" w:cs="Arial" w:eastAsia="Arial" w:hAnsi="Arial"/>
          <w:b w:val="false"/>
          <w:bCs w:val="false"/>
          <w:i w:val="false"/>
          <w:iCs w:val="false"/>
          <w:color w:val="111111"/>
          <w:sz w:val="22"/>
          <w:szCs w:val="22"/>
        </w:rPr>
        <w:t xml:space="preserve">APEX will never trade live money until it has statistically proven itself. The accuracy gate enforces strict conditions that must all be met simultaneously before live trading is even suggested to the operator.</w:t>
      </w:r>
    </w:p>
    <w:p>
      <w:pPr>
        <w:pStyle w:val="Heading2"/>
        <w:spacing w:before="300" w:after="140"/>
      </w:pPr>
      <w:r>
        <w:rPr>
          <w:rFonts w:ascii="Arial" w:cs="Arial" w:eastAsia="Arial" w:hAnsi="Arial"/>
          <w:b/>
          <w:bCs/>
          <w:color w:val="0F6E56"/>
          <w:sz w:val="28"/>
          <w:szCs w:val="28"/>
        </w:rPr>
        <w:t xml:space="preserve">9.1 Gate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tcBorders>
              <w:top w:val="single" w:color="0F6E56" w:sz="1"/>
              <w:left w:val="single" w:color="0F6E56" w:sz="1"/>
              <w:bottom w:val="single" w:color="0F6E56" w:sz="1"/>
              <w:right w:val="single" w:color="0F6E56" w:sz="1"/>
            </w:tcBorders>
            <w:shd w:fill="0F6E56" w:val="clear"/>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FFFFFF"/>
                <w:sz w:val="20"/>
                <w:szCs w:val="20"/>
              </w:rPr>
              <w:t xml:space="preserve">Condition</w:t>
            </w:r>
          </w:p>
        </w:tc>
        <w:tc>
          <w:tcPr>
            <w:tcW w:type="dxa" w:w="2160"/>
            <w:tcBorders>
              <w:top w:val="single" w:color="0F6E56" w:sz="1"/>
              <w:left w:val="single" w:color="0F6E56" w:sz="1"/>
              <w:bottom w:val="single" w:color="0F6E56" w:sz="1"/>
              <w:right w:val="single" w:color="0F6E56" w:sz="1"/>
            </w:tcBorders>
            <w:shd w:fill="0F6E56" w:val="clear"/>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FFFFFF"/>
                <w:sz w:val="20"/>
                <w:szCs w:val="20"/>
              </w:rPr>
              <w:t xml:space="preserve">Threshold</w:t>
            </w:r>
          </w:p>
        </w:tc>
        <w:tc>
          <w:tcPr>
            <w:tcW w:type="dxa" w:w="3600"/>
            <w:tcBorders>
              <w:top w:val="single" w:color="0F6E56" w:sz="1"/>
              <w:left w:val="single" w:color="0F6E56" w:sz="1"/>
              <w:bottom w:val="single" w:color="0F6E56" w:sz="1"/>
              <w:right w:val="single" w:color="0F6E56" w:sz="1"/>
            </w:tcBorders>
            <w:shd w:fill="0F6E56" w:val="clear"/>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FFFFFF"/>
                <w:sz w:val="20"/>
                <w:szCs w:val="20"/>
              </w:rPr>
              <w:t xml:space="preserve">Rationale</w:t>
            </w:r>
          </w:p>
        </w:tc>
      </w:tr>
      <w:tr>
        <w:tc>
          <w:tcPr>
            <w:tcW w:type="dxa" w:w="36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Minimum completed trades</w:t>
            </w:r>
          </w:p>
        </w:tc>
        <w:tc>
          <w:tcPr>
            <w:tcW w:type="dxa" w:w="2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100 trades</w:t>
            </w:r>
          </w:p>
        </w:tc>
        <w:tc>
          <w:tcPr>
            <w:tcW w:type="dxa" w:w="36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Statistically significant sample. Removes lucky streaks.</w:t>
            </w:r>
          </w:p>
        </w:tc>
      </w:tr>
      <w:tr>
        <w:tc>
          <w:tcPr>
            <w:tcW w:type="dxa" w:w="36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Rolling win rate (last 100)</w:t>
            </w:r>
          </w:p>
        </w:tc>
        <w:tc>
          <w:tcPr>
            <w:tcW w:type="dxa" w:w="2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D9E75"/>
                <w:sz w:val="20"/>
                <w:szCs w:val="20"/>
              </w:rPr>
              <w:t xml:space="preserve">≥ 75%</w:t>
            </w:r>
          </w:p>
        </w:tc>
        <w:tc>
          <w:tcPr>
            <w:tcW w:type="dxa" w:w="36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High bar ensures the model genuinely understands market structure.</w:t>
            </w:r>
          </w:p>
        </w:tc>
      </w:tr>
      <w:tr>
        <w:tc>
          <w:tcPr>
            <w:tcW w:type="dxa" w:w="36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Average risk-reward ratio</w:t>
            </w:r>
          </w:p>
        </w:tc>
        <w:tc>
          <w:tcPr>
            <w:tcW w:type="dxa" w:w="2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 1.5R</w:t>
            </w:r>
          </w:p>
        </w:tc>
        <w:tc>
          <w:tcPr>
            <w:tcW w:type="dxa" w:w="36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Ensures profitability even with occasional losses.</w:t>
            </w:r>
          </w:p>
        </w:tc>
      </w:tr>
      <w:tr>
        <w:tc>
          <w:tcPr>
            <w:tcW w:type="dxa" w:w="36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Maximum drawdown (100-trade window)</w:t>
            </w:r>
          </w:p>
        </w:tc>
        <w:tc>
          <w:tcPr>
            <w:tcW w:type="dxa" w:w="2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 15%</w:t>
            </w:r>
          </w:p>
        </w:tc>
        <w:tc>
          <w:tcPr>
            <w:tcW w:type="dxa" w:w="36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Proves consistent risk management, not just lucky wins.</w:t>
            </w:r>
          </w:p>
        </w:tc>
      </w:tr>
      <w:tr>
        <w:tc>
          <w:tcPr>
            <w:tcW w:type="dxa" w:w="36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Consecutive windows above threshold</w:t>
            </w:r>
          </w:p>
        </w:tc>
        <w:tc>
          <w:tcPr>
            <w:tcW w:type="dxa" w:w="2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3 windows</w:t>
            </w:r>
          </w:p>
        </w:tc>
        <w:tc>
          <w:tcPr>
            <w:tcW w:type="dxa" w:w="36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Prevents flukes. Rolling evaluation must be sustained.</w:t>
            </w:r>
          </w:p>
        </w:tc>
      </w:tr>
    </w:tbl>
    <w:p>
      <w:pPr>
        <w:spacing w:before="200" w:after="0"/>
      </w:pPr>
    </w:p>
    <w:p>
      <w:pPr>
        <w:pStyle w:val="Heading2"/>
        <w:spacing w:before="300" w:after="140"/>
      </w:pPr>
      <w:r>
        <w:rPr>
          <w:rFonts w:ascii="Arial" w:cs="Arial" w:eastAsia="Arial" w:hAnsi="Arial"/>
          <w:b/>
          <w:bCs/>
          <w:color w:val="0F6E56"/>
          <w:sz w:val="28"/>
          <w:szCs w:val="28"/>
        </w:rPr>
        <w:t xml:space="preserve">9.2 What Happens When Gate Clears</w:t>
      </w:r>
    </w:p>
    <w:p>
      <w:pPr>
        <w:spacing w:before="0" w:after="120"/>
        <w:jc w:val="left"/>
      </w:pPr>
      <w:r>
        <w:rPr>
          <w:rFonts w:ascii="Arial" w:cs="Arial" w:eastAsia="Arial" w:hAnsi="Arial"/>
          <w:b w:val="false"/>
          <w:bCs w:val="false"/>
          <w:i w:val="false"/>
          <w:iCs w:val="false"/>
          <w:color w:val="111111"/>
          <w:sz w:val="22"/>
          <w:szCs w:val="22"/>
        </w:rPr>
        <w:t xml:space="preserve">When all five conditions are met for three consecutive evaluation windows, APEX generates a full performance report and sends it to the operator via Telegram. The operator manually reviews the report and, if satisfied, changes one configuration flag from "demo" to "live". APEX never switches to live trading automatically — that decision always belongs to the human.</w:t>
      </w:r>
    </w:p>
    <w:p>
      <w:pPr>
        <w:pBdr>
          <w:bottom w:val="single" w:color="DDDDDD" w:sz="2" w:space="1"/>
        </w:pBdr>
        <w:spacing w:before="200" w:after="200"/>
      </w:pPr>
      <w:r>
        <w:rPr>
          <w:rFonts w:ascii="Arial" w:cs="Arial" w:eastAsia="Arial" w:hAnsi="Arial"/>
          <w:sz w:val="4"/>
          <w:szCs w:val="4"/>
        </w:rPr>
        <w:t xml:space="preserve"/>
      </w:r>
    </w:p>
    <w:p>
      <w:pPr>
        <w:pStyle w:val="Heading1"/>
        <w:pBdr>
          <w:bottom w:val="single" w:color="1D9E75" w:sz="8" w:space="4"/>
        </w:pBdr>
        <w:spacing w:before="400" w:after="200"/>
      </w:pPr>
      <w:r>
        <w:rPr>
          <w:rFonts w:ascii="Arial" w:cs="Arial" w:eastAsia="Arial" w:hAnsi="Arial"/>
          <w:b/>
          <w:bCs/>
          <w:color w:val="0d1a14"/>
          <w:sz w:val="36"/>
          <w:szCs w:val="36"/>
        </w:rPr>
        <w:t xml:space="preserve">10. Technology Stack</w:t>
      </w:r>
    </w:p>
    <w:p>
      <w:pPr>
        <w:spacing w:before="0" w:after="160"/>
        <w:jc w:val="left"/>
      </w:pPr>
      <w:r>
        <w:rPr>
          <w:rFonts w:ascii="Arial" w:cs="Arial" w:eastAsia="Arial" w:hAnsi="Arial"/>
          <w:b w:val="false"/>
          <w:bCs w:val="false"/>
          <w:i w:val="false"/>
          <w:iCs w:val="false"/>
          <w:color w:val="111111"/>
          <w:sz w:val="22"/>
          <w:szCs w:val="22"/>
        </w:rPr>
        <w:t xml:space="preserve">APEX is engineered entirely on free and open-source components. The total monthly operating cost is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360"/>
        <w:gridCol w:w="3400"/>
      </w:tblGrid>
      <w:tr>
        <w:tc>
          <w:tcPr>
            <w:tcW w:type="dxa" w:w="2200"/>
            <w:tcBorders>
              <w:top w:val="single" w:color="0F6E56" w:sz="1"/>
              <w:left w:val="single" w:color="0F6E56" w:sz="1"/>
              <w:bottom w:val="single" w:color="0F6E56" w:sz="1"/>
              <w:right w:val="single" w:color="0F6E56" w:sz="1"/>
            </w:tcBorders>
            <w:shd w:fill="0F6E56" w:val="clear"/>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FFFFFF"/>
                <w:sz w:val="20"/>
                <w:szCs w:val="20"/>
              </w:rPr>
              <w:t xml:space="preserve">Component</w:t>
            </w:r>
          </w:p>
        </w:tc>
        <w:tc>
          <w:tcPr>
            <w:tcW w:type="dxa" w:w="2400"/>
            <w:tcBorders>
              <w:top w:val="single" w:color="0F6E56" w:sz="1"/>
              <w:left w:val="single" w:color="0F6E56" w:sz="1"/>
              <w:bottom w:val="single" w:color="0F6E56" w:sz="1"/>
              <w:right w:val="single" w:color="0F6E56" w:sz="1"/>
            </w:tcBorders>
            <w:shd w:fill="0F6E56" w:val="clear"/>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FFFFFF"/>
                <w:sz w:val="20"/>
                <w:szCs w:val="20"/>
              </w:rPr>
              <w:t xml:space="preserve">Technology</w:t>
            </w:r>
          </w:p>
        </w:tc>
        <w:tc>
          <w:tcPr>
            <w:tcW w:type="dxa" w:w="1360"/>
            <w:tcBorders>
              <w:top w:val="single" w:color="0F6E56" w:sz="1"/>
              <w:left w:val="single" w:color="0F6E56" w:sz="1"/>
              <w:bottom w:val="single" w:color="0F6E56" w:sz="1"/>
              <w:right w:val="single" w:color="0F6E56" w:sz="1"/>
            </w:tcBorders>
            <w:shd w:fill="0F6E56" w:val="clear"/>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FFFFFF"/>
                <w:sz w:val="20"/>
                <w:szCs w:val="20"/>
              </w:rPr>
              <w:t xml:space="preserve">Cost</w:t>
            </w:r>
          </w:p>
        </w:tc>
        <w:tc>
          <w:tcPr>
            <w:tcW w:type="dxa" w:w="3400"/>
            <w:tcBorders>
              <w:top w:val="single" w:color="0F6E56" w:sz="1"/>
              <w:left w:val="single" w:color="0F6E56" w:sz="1"/>
              <w:bottom w:val="single" w:color="0F6E56" w:sz="1"/>
              <w:right w:val="single" w:color="0F6E56" w:sz="1"/>
            </w:tcBorders>
            <w:shd w:fill="0F6E56" w:val="clear"/>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FFFFFF"/>
                <w:sz w:val="20"/>
                <w:szCs w:val="20"/>
              </w:rPr>
              <w:t xml:space="preserve">Purpose</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Runtime</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0F6E56"/>
                <w:sz w:val="20"/>
                <w:szCs w:val="20"/>
              </w:rPr>
              <w:t xml:space="preserve">Node.js 20+</w:t>
            </w:r>
          </w:p>
        </w:tc>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D9E75"/>
                <w:sz w:val="20"/>
                <w:szCs w:val="20"/>
              </w:rPr>
              <w:t xml:space="preserve">Free</w:t>
            </w:r>
          </w:p>
        </w:tc>
        <w:tc>
          <w:tcPr>
            <w:tcW w:type="dxa" w:w="33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555555"/>
                <w:sz w:val="20"/>
                <w:szCs w:val="20"/>
              </w:rPr>
              <w:t xml:space="preserve">Main agent process, event loop, CLI</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MT5 bridge</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0F6E56"/>
                <w:sz w:val="20"/>
                <w:szCs w:val="20"/>
              </w:rPr>
              <w:t xml:space="preserve">Python 3.11 + MetaTrader5 lib</w:t>
            </w:r>
          </w:p>
        </w:tc>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D9E75"/>
                <w:sz w:val="20"/>
                <w:szCs w:val="20"/>
              </w:rPr>
              <w:t xml:space="preserve">Free</w:t>
            </w:r>
          </w:p>
        </w:tc>
        <w:tc>
          <w:tcPr>
            <w:tcW w:type="dxa" w:w="33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555555"/>
                <w:sz w:val="20"/>
                <w:szCs w:val="20"/>
              </w:rPr>
              <w:t xml:space="preserve">Tick data, order execution, account info</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Primary LLM</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0F6E56"/>
                <w:sz w:val="20"/>
                <w:szCs w:val="20"/>
              </w:rPr>
              <w:t xml:space="preserve">Ollama + Qwen2.5:14b</w:t>
            </w:r>
          </w:p>
        </w:tc>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D9E75"/>
                <w:sz w:val="20"/>
                <w:szCs w:val="20"/>
              </w:rPr>
              <w:t xml:space="preserve">Free (local)</w:t>
            </w:r>
          </w:p>
        </w:tc>
        <w:tc>
          <w:tcPr>
            <w:tcW w:type="dxa" w:w="33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555555"/>
                <w:sz w:val="20"/>
                <w:szCs w:val="20"/>
              </w:rPr>
              <w:t xml:space="preserve">Market analysis, trade planning, lessons</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News LLM</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0F6E56"/>
                <w:sz w:val="20"/>
                <w:szCs w:val="20"/>
              </w:rPr>
              <w:t xml:space="preserve">Groq API — Llama 3.1 70B</w:t>
            </w:r>
          </w:p>
        </w:tc>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D9E75"/>
                <w:sz w:val="20"/>
                <w:szCs w:val="20"/>
              </w:rPr>
              <w:t xml:space="preserve">Free tier</w:t>
            </w:r>
          </w:p>
        </w:tc>
        <w:tc>
          <w:tcPr>
            <w:tcW w:type="dxa" w:w="33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555555"/>
                <w:sz w:val="20"/>
                <w:szCs w:val="20"/>
              </w:rPr>
              <w:t xml:space="preserve">News sentiment, macro bias</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Validator LLM</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0F6E56"/>
                <w:sz w:val="20"/>
                <w:szCs w:val="20"/>
              </w:rPr>
              <w:t xml:space="preserve">Gemini 1.5 Flash</w:t>
            </w:r>
          </w:p>
        </w:tc>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D9E75"/>
                <w:sz w:val="20"/>
                <w:szCs w:val="20"/>
              </w:rPr>
              <w:t xml:space="preserve">Free tier</w:t>
            </w:r>
          </w:p>
        </w:tc>
        <w:tc>
          <w:tcPr>
            <w:tcW w:type="dxa" w:w="33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555555"/>
                <w:sz w:val="20"/>
                <w:szCs w:val="20"/>
              </w:rPr>
              <w:t xml:space="preserve">Trade plan cross-validation</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Backup LLMs</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0F6E56"/>
                <w:sz w:val="20"/>
                <w:szCs w:val="20"/>
              </w:rPr>
              <w:t xml:space="preserve">OpenRouter / Together AI</w:t>
            </w:r>
          </w:p>
        </w:tc>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D9E75"/>
                <w:sz w:val="20"/>
                <w:szCs w:val="20"/>
              </w:rPr>
              <w:t xml:space="preserve">Free credits</w:t>
            </w:r>
          </w:p>
        </w:tc>
        <w:tc>
          <w:tcPr>
            <w:tcW w:type="dxa" w:w="33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555555"/>
                <w:sz w:val="20"/>
                <w:szCs w:val="20"/>
              </w:rPr>
              <w:t xml:space="preserve">Fallback when quotas hit</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News source</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0F6E56"/>
                <w:sz w:val="20"/>
                <w:szCs w:val="20"/>
              </w:rPr>
              <w:t xml:space="preserve">Reuters RSS, FXStreet RSS</w:t>
            </w:r>
          </w:p>
        </w:tc>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D9E75"/>
                <w:sz w:val="20"/>
                <w:szCs w:val="20"/>
              </w:rPr>
              <w:t xml:space="preserve">Free (public)</w:t>
            </w:r>
          </w:p>
        </w:tc>
        <w:tc>
          <w:tcPr>
            <w:tcW w:type="dxa" w:w="33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555555"/>
                <w:sz w:val="20"/>
                <w:szCs w:val="20"/>
              </w:rPr>
              <w:t xml:space="preserve">Headline scraping, no API key</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Calendar</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0F6E56"/>
                <w:sz w:val="20"/>
                <w:szCs w:val="20"/>
              </w:rPr>
              <w:t xml:space="preserve">ForexFactory XML</w:t>
            </w:r>
          </w:p>
        </w:tc>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D9E75"/>
                <w:sz w:val="20"/>
                <w:szCs w:val="20"/>
              </w:rPr>
              <w:t xml:space="preserve">Free (public)</w:t>
            </w:r>
          </w:p>
        </w:tc>
        <w:tc>
          <w:tcPr>
            <w:tcW w:type="dxa" w:w="33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555555"/>
                <w:sz w:val="20"/>
                <w:szCs w:val="20"/>
              </w:rPr>
              <w:t xml:space="preserve">Economic events, impact levels</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Database</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0F6E56"/>
                <w:sz w:val="20"/>
                <w:szCs w:val="20"/>
              </w:rPr>
              <w:t xml:space="preserve">SQLite</w:t>
            </w:r>
          </w:p>
        </w:tc>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D9E75"/>
                <w:sz w:val="20"/>
                <w:szCs w:val="20"/>
              </w:rPr>
              <w:t xml:space="preserve">Free (built-in)</w:t>
            </w:r>
          </w:p>
        </w:tc>
        <w:tc>
          <w:tcPr>
            <w:tcW w:type="dxa" w:w="33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555555"/>
                <w:sz w:val="20"/>
                <w:szCs w:val="20"/>
              </w:rPr>
              <w:t xml:space="preserve">Trades, lessons, accuracy data</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Notifications</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0F6E56"/>
                <w:sz w:val="20"/>
                <w:szCs w:val="20"/>
              </w:rPr>
              <w:t xml:space="preserve">Telegram Bot API</w:t>
            </w:r>
          </w:p>
        </w:tc>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D9E75"/>
                <w:sz w:val="20"/>
                <w:szCs w:val="20"/>
              </w:rPr>
              <w:t xml:space="preserve">Free forever</w:t>
            </w:r>
          </w:p>
        </w:tc>
        <w:tc>
          <w:tcPr>
            <w:tcW w:type="dxa" w:w="33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555555"/>
                <w:sz w:val="20"/>
                <w:szCs w:val="20"/>
              </w:rPr>
              <w:t xml:space="preserve">Trade alerts to phone</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Terminal UI</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0F6E56"/>
                <w:sz w:val="20"/>
                <w:szCs w:val="20"/>
              </w:rPr>
              <w:t xml:space="preserve">Blessed (npm)</w:t>
            </w:r>
          </w:p>
        </w:tc>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D9E75"/>
                <w:sz w:val="20"/>
                <w:szCs w:val="20"/>
              </w:rPr>
              <w:t xml:space="preserve">Free</w:t>
            </w:r>
          </w:p>
        </w:tc>
        <w:tc>
          <w:tcPr>
            <w:tcW w:type="dxa" w:w="33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555555"/>
                <w:sz w:val="20"/>
                <w:szCs w:val="20"/>
              </w:rPr>
              <w:t xml:space="preserve">Live dashboard in terminal</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Logging</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0F6E56"/>
                <w:sz w:val="20"/>
                <w:szCs w:val="20"/>
              </w:rPr>
              <w:t xml:space="preserve">Winston (npm)</w:t>
            </w:r>
          </w:p>
        </w:tc>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D9E75"/>
                <w:sz w:val="20"/>
                <w:szCs w:val="20"/>
              </w:rPr>
              <w:t xml:space="preserve">Free</w:t>
            </w:r>
          </w:p>
        </w:tc>
        <w:tc>
          <w:tcPr>
            <w:tcW w:type="dxa" w:w="33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555555"/>
                <w:sz w:val="20"/>
                <w:szCs w:val="20"/>
              </w:rPr>
              <w:t xml:space="preserve">Structured logs to files</w:t>
            </w:r>
          </w:p>
        </w:tc>
      </w:tr>
    </w:tbl>
    <w:p>
      <w:pPr>
        <w:spacing w:before="200" w:after="0"/>
      </w:pPr>
    </w:p>
    <w:p>
      <w:pPr>
        <w:pStyle w:val="Heading2"/>
        <w:spacing w:before="300" w:after="140"/>
      </w:pPr>
      <w:r>
        <w:rPr>
          <w:rFonts w:ascii="Arial" w:cs="Arial" w:eastAsia="Arial" w:hAnsi="Arial"/>
          <w:b/>
          <w:bCs/>
          <w:color w:val="0F6E56"/>
          <w:sz w:val="28"/>
          <w:szCs w:val="28"/>
        </w:rPr>
        <w:t xml:space="preserve">10.1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tcBorders>
              <w:top w:val="single" w:color="0F6E56" w:sz="1"/>
              <w:left w:val="single" w:color="0F6E56" w:sz="1"/>
              <w:bottom w:val="single" w:color="0F6E56" w:sz="1"/>
              <w:right w:val="single" w:color="0F6E56" w:sz="1"/>
            </w:tcBorders>
            <w:shd w:fill="0F6E56" w:val="clear"/>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FFFFFF"/>
                <w:sz w:val="20"/>
                <w:szCs w:val="20"/>
              </w:rPr>
              <w:t xml:space="preserve">Spec</w:t>
            </w:r>
          </w:p>
        </w:tc>
        <w:tc>
          <w:tcPr>
            <w:tcW w:type="dxa" w:w="2400"/>
            <w:tcBorders>
              <w:top w:val="single" w:color="0F6E56" w:sz="1"/>
              <w:left w:val="single" w:color="0F6E56" w:sz="1"/>
              <w:bottom w:val="single" w:color="0F6E56" w:sz="1"/>
              <w:right w:val="single" w:color="0F6E56" w:sz="1"/>
            </w:tcBorders>
            <w:shd w:fill="0F6E56" w:val="clear"/>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FFFFFF"/>
                <w:sz w:val="20"/>
                <w:szCs w:val="20"/>
              </w:rPr>
              <w:t xml:space="preserve">Minimum</w:t>
            </w:r>
          </w:p>
        </w:tc>
        <w:tc>
          <w:tcPr>
            <w:tcW w:type="dxa" w:w="2480"/>
            <w:tcBorders>
              <w:top w:val="single" w:color="0F6E56" w:sz="1"/>
              <w:left w:val="single" w:color="0F6E56" w:sz="1"/>
              <w:bottom w:val="single" w:color="0F6E56" w:sz="1"/>
              <w:right w:val="single" w:color="0F6E56" w:sz="1"/>
            </w:tcBorders>
            <w:shd w:fill="0F6E56" w:val="clear"/>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FFFFFF"/>
                <w:sz w:val="20"/>
                <w:szCs w:val="20"/>
              </w:rPr>
              <w:t xml:space="preserve">Recommended</w:t>
            </w:r>
          </w:p>
        </w:tc>
        <w:tc>
          <w:tcPr>
            <w:tcW w:type="dxa" w:w="2480"/>
            <w:tcBorders>
              <w:top w:val="single" w:color="0F6E56" w:sz="1"/>
              <w:left w:val="single" w:color="0F6E56" w:sz="1"/>
              <w:bottom w:val="single" w:color="0F6E56" w:sz="1"/>
              <w:right w:val="single" w:color="0F6E56" w:sz="1"/>
            </w:tcBorders>
            <w:shd w:fill="0F6E56" w:val="clear"/>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FFFFFF"/>
                <w:sz w:val="20"/>
                <w:szCs w:val="20"/>
              </w:rPr>
              <w:t xml:space="preserve">Ideal</w:t>
            </w:r>
          </w:p>
        </w:tc>
      </w:tr>
      <w:tr>
        <w:tc>
          <w:tcPr>
            <w:tcW w:type="dxa" w:w="20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RAM</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8 GB</w:t>
            </w:r>
          </w:p>
        </w:tc>
        <w:tc>
          <w:tcPr>
            <w:tcW w:type="dxa" w:w="24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16 GB</w:t>
            </w:r>
          </w:p>
        </w:tc>
        <w:tc>
          <w:tcPr>
            <w:tcW w:type="dxa" w:w="24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32 GB</w:t>
            </w:r>
          </w:p>
        </w:tc>
      </w:tr>
      <w:tr>
        <w:tc>
          <w:tcPr>
            <w:tcW w:type="dxa" w:w="20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CPU</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Any modern (4-core)</w:t>
            </w:r>
          </w:p>
        </w:tc>
        <w:tc>
          <w:tcPr>
            <w:tcW w:type="dxa" w:w="24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Ryzen 5 / i5+</w:t>
            </w:r>
          </w:p>
        </w:tc>
        <w:tc>
          <w:tcPr>
            <w:tcW w:type="dxa" w:w="24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Ryzen 7 / i7+</w:t>
            </w:r>
          </w:p>
        </w:tc>
      </w:tr>
      <w:tr>
        <w:tc>
          <w:tcPr>
            <w:tcW w:type="dxa" w:w="20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GPU (optional)</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Not required</w:t>
            </w:r>
          </w:p>
        </w:tc>
        <w:tc>
          <w:tcPr>
            <w:tcW w:type="dxa" w:w="24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6 GB VRAM</w:t>
            </w:r>
          </w:p>
        </w:tc>
        <w:tc>
          <w:tcPr>
            <w:tcW w:type="dxa" w:w="24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8 GB+ VRAM (RTX 3060+)</w:t>
            </w:r>
          </w:p>
        </w:tc>
      </w:tr>
      <w:tr>
        <w:tc>
          <w:tcPr>
            <w:tcW w:type="dxa" w:w="20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Storage</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20 GB free</w:t>
            </w:r>
          </w:p>
        </w:tc>
        <w:tc>
          <w:tcPr>
            <w:tcW w:type="dxa" w:w="24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30 GB free</w:t>
            </w:r>
          </w:p>
        </w:tc>
        <w:tc>
          <w:tcPr>
            <w:tcW w:type="dxa" w:w="24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50 GB free</w:t>
            </w:r>
          </w:p>
        </w:tc>
      </w:tr>
      <w:tr>
        <w:tc>
          <w:tcPr>
            <w:tcW w:type="dxa" w:w="20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OS</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Windows 10/11</w:t>
            </w:r>
          </w:p>
        </w:tc>
        <w:tc>
          <w:tcPr>
            <w:tcW w:type="dxa" w:w="24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Windows 10/11</w:t>
            </w:r>
          </w:p>
        </w:tc>
        <w:tc>
          <w:tcPr>
            <w:tcW w:type="dxa" w:w="24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Windows 10/11</w:t>
            </w:r>
          </w:p>
        </w:tc>
      </w:tr>
      <w:tr>
        <w:tc>
          <w:tcPr>
            <w:tcW w:type="dxa" w:w="20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LLM model</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Llama3.1:8b</w:t>
            </w:r>
          </w:p>
        </w:tc>
        <w:tc>
          <w:tcPr>
            <w:tcW w:type="dxa" w:w="24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Qwen2.5:14b</w:t>
            </w:r>
          </w:p>
        </w:tc>
        <w:tc>
          <w:tcPr>
            <w:tcW w:type="dxa" w:w="24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Qwen2.5:14b (GPU)</w:t>
            </w:r>
          </w:p>
        </w:tc>
      </w:tr>
    </w:tbl>
    <w:p>
      <w:pPr>
        <w:spacing w:before="200" w:after="0"/>
      </w:pPr>
    </w:p>
    <w:p>
      <w:pPr>
        <w:spacing w:before="0" w:after="160"/>
        <w:jc w:val="left"/>
      </w:pPr>
      <w:r>
        <w:rPr>
          <w:rFonts w:ascii="Arial" w:cs="Arial" w:eastAsia="Arial" w:hAnsi="Arial"/>
          <w:b w:val="false"/>
          <w:bCs w:val="false"/>
          <w:i/>
          <w:iCs/>
          <w:color w:val="555555"/>
          <w:sz w:val="22"/>
          <w:szCs w:val="22"/>
        </w:rPr>
        <w:t xml:space="preserve">Note: MT5 requires Windows. The Node.js agent and Ollama can run on the same Windows machine or on a separate machine on the same local network.</w:t>
      </w:r>
    </w:p>
    <w:p>
      <w:pPr>
        <w:pBdr>
          <w:bottom w:val="single" w:color="DDDDDD" w:sz="2" w:space="1"/>
        </w:pBdr>
        <w:spacing w:before="200" w:after="200"/>
      </w:pPr>
      <w:r>
        <w:rPr>
          <w:rFonts w:ascii="Arial" w:cs="Arial" w:eastAsia="Arial" w:hAnsi="Arial"/>
          <w:sz w:val="4"/>
          <w:szCs w:val="4"/>
        </w:rPr>
        <w:t xml:space="preserve"/>
      </w:r>
    </w:p>
    <w:p>
      <w:pPr>
        <w:pStyle w:val="Heading1"/>
        <w:pBdr>
          <w:bottom w:val="single" w:color="1D9E75" w:sz="8" w:space="4"/>
        </w:pBdr>
        <w:spacing w:before="400" w:after="200"/>
      </w:pPr>
      <w:r>
        <w:rPr>
          <w:rFonts w:ascii="Arial" w:cs="Arial" w:eastAsia="Arial" w:hAnsi="Arial"/>
          <w:b/>
          <w:bCs/>
          <w:color w:val="0d1a14"/>
          <w:sz w:val="36"/>
          <w:szCs w:val="36"/>
        </w:rPr>
        <w:t xml:space="preserve">11.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F6E56" w:sz="1"/>
              <w:left w:val="single" w:color="0F6E56" w:sz="1"/>
              <w:bottom w:val="single" w:color="0F6E56" w:sz="1"/>
              <w:right w:val="single" w:color="0F6E56" w:sz="1"/>
            </w:tcBorders>
            <w:shd w:fill="0F6E56" w:val="clear"/>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FFFFFF"/>
                <w:sz w:val="20"/>
                <w:szCs w:val="20"/>
              </w:rPr>
              <w:t xml:space="preserve">File / Directory</w:t>
            </w:r>
          </w:p>
        </w:tc>
        <w:tc>
          <w:tcPr>
            <w:tcW w:type="dxa" w:w="6160"/>
            <w:tcBorders>
              <w:top w:val="single" w:color="0F6E56" w:sz="1"/>
              <w:left w:val="single" w:color="0F6E56" w:sz="1"/>
              <w:bottom w:val="single" w:color="0F6E56" w:sz="1"/>
              <w:right w:val="single" w:color="0F6E56" w:sz="1"/>
            </w:tcBorders>
            <w:shd w:fill="0F6E56" w:val="clear"/>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FFFFFF"/>
                <w:sz w:val="20"/>
                <w:szCs w:val="20"/>
              </w:rPr>
              <w:t xml:space="preserve">Purpose</w:t>
            </w:r>
          </w:p>
        </w:tc>
      </w:tr>
      <w:tr>
        <w:tc>
          <w:tcPr>
            <w:tcW w:type="dxa" w:w="3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D9E75"/>
                <w:sz w:val="20"/>
                <w:szCs w:val="20"/>
              </w:rPr>
              <w:t xml:space="preserve">apex.js</w:t>
            </w:r>
          </w:p>
        </w:tc>
        <w:tc>
          <w:tcPr>
            <w:tcW w:type="dxa" w:w="6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Entry point — apex start / apex status / apex report</w:t>
            </w:r>
          </w:p>
        </w:tc>
      </w:tr>
      <w:tr>
        <w:tc>
          <w:tcPr>
            <w:tcW w:type="dxa" w:w="3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.env</w:t>
            </w:r>
          </w:p>
        </w:tc>
        <w:tc>
          <w:tcPr>
            <w:tcW w:type="dxa" w:w="6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Groq API key, Gemini API key, Telegram bot token, MT5 credentials</w:t>
            </w:r>
          </w:p>
        </w:tc>
      </w:tr>
      <w:tr>
        <w:tc>
          <w:tcPr>
            <w:tcW w:type="dxa" w:w="3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core/watcher.js</w:t>
            </w:r>
          </w:p>
        </w:tc>
        <w:tc>
          <w:tcPr>
            <w:tcW w:type="dxa" w:w="6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Tick stream ingestion, candle builder, always-on event loop</w:t>
            </w:r>
          </w:p>
        </w:tc>
      </w:tr>
      <w:tr>
        <w:tc>
          <w:tcPr>
            <w:tcW w:type="dxa" w:w="3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core/detector.js</w:t>
            </w:r>
          </w:p>
        </w:tc>
        <w:tc>
          <w:tcPr>
            <w:tcW w:type="dxa" w:w="6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Fires all concept scanners on every closed candle</w:t>
            </w:r>
          </w:p>
        </w:tc>
      </w:tr>
      <w:tr>
        <w:tc>
          <w:tcPr>
            <w:tcW w:type="dxa" w:w="3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core/confluencer.js</w:t>
            </w:r>
          </w:p>
        </w:tc>
        <w:tc>
          <w:tcPr>
            <w:tcW w:type="dxa" w:w="6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Scores setups, triggers LLM council when threshold met</w:t>
            </w:r>
          </w:p>
        </w:tc>
      </w:tr>
      <w:tr>
        <w:tc>
          <w:tcPr>
            <w:tcW w:type="dxa" w:w="3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core/orderManager.js</w:t>
            </w:r>
          </w:p>
        </w:tc>
        <w:tc>
          <w:tcPr>
            <w:tcW w:type="dxa" w:w="6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Places, monitors, modifies, and cancels all orders</w:t>
            </w:r>
          </w:p>
        </w:tc>
      </w:tr>
      <w:tr>
        <w:tc>
          <w:tcPr>
            <w:tcW w:type="dxa" w:w="3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concepts/smc.js</w:t>
            </w:r>
          </w:p>
        </w:tc>
        <w:tc>
          <w:tcPr>
            <w:tcW w:type="dxa" w:w="6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SMC: OB, FVG, BOS, CHoCH, liquidity, killzones</w:t>
            </w:r>
          </w:p>
        </w:tc>
      </w:tr>
      <w:tr>
        <w:tc>
          <w:tcPr>
            <w:tcW w:type="dxa" w:w="3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concepts/technicals.js</w:t>
            </w:r>
          </w:p>
        </w:tc>
        <w:tc>
          <w:tcPr>
            <w:tcW w:type="dxa" w:w="6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EMA, RSI, MACD, Bollinger Bands, Fibonacci</w:t>
            </w:r>
          </w:p>
        </w:tc>
      </w:tr>
      <w:tr>
        <w:tc>
          <w:tcPr>
            <w:tcW w:type="dxa" w:w="3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concepts/priceAction.js</w:t>
            </w:r>
          </w:p>
        </w:tc>
        <w:tc>
          <w:tcPr>
            <w:tcW w:type="dxa" w:w="6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Candlestick patterns, pin bars, engulfing, inside bars</w:t>
            </w:r>
          </w:p>
        </w:tc>
      </w:tr>
      <w:tr>
        <w:tc>
          <w:tcPr>
            <w:tcW w:type="dxa" w:w="3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concepts/wyckoff.js</w:t>
            </w:r>
          </w:p>
        </w:tc>
        <w:tc>
          <w:tcPr>
            <w:tcW w:type="dxa" w:w="6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Accumulation/distribution phases, spring, upthrust</w:t>
            </w:r>
          </w:p>
        </w:tc>
      </w:tr>
      <w:tr>
        <w:tc>
          <w:tcPr>
            <w:tcW w:type="dxa" w:w="3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concepts/fundamental.js</w:t>
            </w:r>
          </w:p>
        </w:tc>
        <w:tc>
          <w:tcPr>
            <w:tcW w:type="dxa" w:w="6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News sentiment, calendar events, macro bias</w:t>
            </w:r>
          </w:p>
        </w:tc>
      </w:tr>
      <w:tr>
        <w:tc>
          <w:tcPr>
            <w:tcW w:type="dxa" w:w="3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llm/council.js</w:t>
            </w:r>
          </w:p>
        </w:tc>
        <w:tc>
          <w:tcPr>
            <w:tcW w:type="dxa" w:w="6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Orchestrates all 3 LLMs, consensus logic, output parsing</w:t>
            </w:r>
          </w:p>
        </w:tc>
      </w:tr>
      <w:tr>
        <w:tc>
          <w:tcPr>
            <w:tcW w:type="dxa" w:w="3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llm/ollama.js</w:t>
            </w:r>
          </w:p>
        </w:tc>
        <w:tc>
          <w:tcPr>
            <w:tcW w:type="dxa" w:w="6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Local Ollama REST API adapter</w:t>
            </w:r>
          </w:p>
        </w:tc>
      </w:tr>
      <w:tr>
        <w:tc>
          <w:tcPr>
            <w:tcW w:type="dxa" w:w="3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llm/groq.js</w:t>
            </w:r>
          </w:p>
        </w:tc>
        <w:tc>
          <w:tcPr>
            <w:tcW w:type="dxa" w:w="6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Groq API adapter (free tier)</w:t>
            </w:r>
          </w:p>
        </w:tc>
      </w:tr>
      <w:tr>
        <w:tc>
          <w:tcPr>
            <w:tcW w:type="dxa" w:w="3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llm/gemini.js</w:t>
            </w:r>
          </w:p>
        </w:tc>
        <w:tc>
          <w:tcPr>
            <w:tcW w:type="dxa" w:w="6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Gemini Flash API adapter (free tier)</w:t>
            </w:r>
          </w:p>
        </w:tc>
      </w:tr>
      <w:tr>
        <w:tc>
          <w:tcPr>
            <w:tcW w:type="dxa" w:w="3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data/newsScraper.js</w:t>
            </w:r>
          </w:p>
        </w:tc>
        <w:tc>
          <w:tcPr>
            <w:tcW w:type="dxa" w:w="6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Reuters + FXStreet RSS headline fetcher</w:t>
            </w:r>
          </w:p>
        </w:tc>
      </w:tr>
      <w:tr>
        <w:tc>
          <w:tcPr>
            <w:tcW w:type="dxa" w:w="3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data/calendar.js</w:t>
            </w:r>
          </w:p>
        </w:tc>
        <w:tc>
          <w:tcPr>
            <w:tcW w:type="dxa" w:w="6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ForexFactory XML economic calendar parser</w:t>
            </w:r>
          </w:p>
        </w:tc>
      </w:tr>
      <w:tr>
        <w:tc>
          <w:tcPr>
            <w:tcW w:type="dxa" w:w="3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data/bridge/mt5_bridge.py</w:t>
            </w:r>
          </w:p>
        </w:tc>
        <w:tc>
          <w:tcPr>
            <w:tcW w:type="dxa" w:w="6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Python bridge — MT5 tick data, orders, account info</w:t>
            </w:r>
          </w:p>
        </w:tc>
      </w:tr>
      <w:tr>
        <w:tc>
          <w:tcPr>
            <w:tcW w:type="dxa" w:w="3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db/journal.js</w:t>
            </w:r>
          </w:p>
        </w:tc>
        <w:tc>
          <w:tcPr>
            <w:tcW w:type="dxa" w:w="6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SQLite — all trades, lessons, accuracy metrics</w:t>
            </w:r>
          </w:p>
        </w:tc>
      </w:tr>
      <w:tr>
        <w:tc>
          <w:tcPr>
            <w:tcW w:type="dxa" w:w="3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eval/postTrade.js</w:t>
            </w:r>
          </w:p>
        </w:tc>
        <w:tc>
          <w:tcPr>
            <w:tcW w:type="dxa" w:w="6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Triggers LLM review after each trade close</w:t>
            </w:r>
          </w:p>
        </w:tc>
      </w:tr>
      <w:tr>
        <w:tc>
          <w:tcPr>
            <w:tcW w:type="dxa" w:w="3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eval/accuracyGate.js</w:t>
            </w:r>
          </w:p>
        </w:tc>
        <w:tc>
          <w:tcPr>
            <w:tcW w:type="dxa" w:w="6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100-trade rolling accuracy gate logic</w:t>
            </w:r>
          </w:p>
        </w:tc>
      </w:tr>
      <w:tr>
        <w:tc>
          <w:tcPr>
            <w:tcW w:type="dxa" w:w="3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eval/lessons.js</w:t>
            </w:r>
          </w:p>
        </w:tc>
        <w:tc>
          <w:tcPr>
            <w:tcW w:type="dxa" w:w="6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Stores and retrieves lessons for prompt injection</w:t>
            </w:r>
          </w:p>
        </w:tc>
      </w:tr>
      <w:tr>
        <w:tc>
          <w:tcPr>
            <w:tcW w:type="dxa" w:w="3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notify/telegram.js</w:t>
            </w:r>
          </w:p>
        </w:tc>
        <w:tc>
          <w:tcPr>
            <w:tcW w:type="dxa" w:w="6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Telegram Bot — trade alerts, reports, accuracy updates</w:t>
            </w:r>
          </w:p>
        </w:tc>
      </w:tr>
      <w:tr>
        <w:tc>
          <w:tcPr>
            <w:tcW w:type="dxa" w:w="3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cli/dashboard.js</w:t>
            </w:r>
          </w:p>
        </w:tc>
        <w:tc>
          <w:tcPr>
            <w:tcW w:type="dxa" w:w="6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Blessed terminal dashboard — live positions, P&amp;L, logs</w:t>
            </w:r>
          </w:p>
        </w:tc>
      </w:tr>
    </w:tbl>
    <w:p>
      <w:pPr>
        <w:spacing w:before="200" w:after="0"/>
      </w:pPr>
    </w:p>
    <w:p>
      <w:pPr>
        <w:pBdr>
          <w:bottom w:val="single" w:color="DDDDDD" w:sz="2" w:space="1"/>
        </w:pBdr>
        <w:spacing w:before="200" w:after="200"/>
      </w:pPr>
      <w:r>
        <w:rPr>
          <w:rFonts w:ascii="Arial" w:cs="Arial" w:eastAsia="Arial" w:hAnsi="Arial"/>
          <w:sz w:val="4"/>
          <w:szCs w:val="4"/>
        </w:rPr>
        <w:t xml:space="preserve"/>
      </w:r>
    </w:p>
    <w:p>
      <w:pPr>
        <w:pStyle w:val="Heading1"/>
        <w:pBdr>
          <w:bottom w:val="single" w:color="1D9E75" w:sz="8" w:space="4"/>
        </w:pBdr>
        <w:spacing w:before="400" w:after="200"/>
      </w:pPr>
      <w:r>
        <w:rPr>
          <w:rFonts w:ascii="Arial" w:cs="Arial" w:eastAsia="Arial" w:hAnsi="Arial"/>
          <w:b/>
          <w:bCs/>
          <w:color w:val="0d1a14"/>
          <w:sz w:val="36"/>
          <w:szCs w:val="36"/>
        </w:rPr>
        <w:t xml:space="preserve">12. Risk Management Framework</w:t>
      </w:r>
    </w:p>
    <w:p>
      <w:pPr>
        <w:pStyle w:val="Heading2"/>
        <w:spacing w:before="300" w:after="140"/>
      </w:pPr>
      <w:r>
        <w:rPr>
          <w:rFonts w:ascii="Arial" w:cs="Arial" w:eastAsia="Arial" w:hAnsi="Arial"/>
          <w:b/>
          <w:bCs/>
          <w:color w:val="0F6E56"/>
          <w:sz w:val="28"/>
          <w:szCs w:val="28"/>
        </w:rPr>
        <w:t xml:space="preserve">12.1 Per-Trade Risk</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Default risk: 1% of account balance per trade (configurable).</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Lot size is calculated automatically from account balance, risk %, and stop loss distance in pips.</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Maximum 3 simultaneous open trades across all symbols.</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Correlated pairs filter: APEX will not open a second USD trade if one is already active.</w:t>
      </w:r>
    </w:p>
    <w:p>
      <w:pPr>
        <w:pStyle w:val="Heading2"/>
        <w:spacing w:before="300" w:after="140"/>
      </w:pPr>
      <w:r>
        <w:rPr>
          <w:rFonts w:ascii="Arial" w:cs="Arial" w:eastAsia="Arial" w:hAnsi="Arial"/>
          <w:b/>
          <w:bCs/>
          <w:color w:val="0F6E56"/>
          <w:sz w:val="28"/>
          <w:szCs w:val="28"/>
        </w:rPr>
        <w:t xml:space="preserve">12.2 Session-Level Risk</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Maximum daily loss: 3% of account balance. If hit, no new trades for the remainder of the session.</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News blackout: No new orders within 2 hours of a red (high-impact) economic event.</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Session filter: APEX can be configured to trade only during specific killzones (London/NY open).</w:t>
      </w:r>
    </w:p>
    <w:p>
      <w:pPr>
        <w:pStyle w:val="Heading2"/>
        <w:spacing w:before="300" w:after="140"/>
      </w:pPr>
      <w:r>
        <w:rPr>
          <w:rFonts w:ascii="Arial" w:cs="Arial" w:eastAsia="Arial" w:hAnsi="Arial"/>
          <w:b/>
          <w:bCs/>
          <w:color w:val="0F6E56"/>
          <w:sz w:val="28"/>
          <w:szCs w:val="28"/>
        </w:rPr>
        <w:t xml:space="preserve">12.3 Account-Level Protection</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In demo mode, all of the above apply exactly as they would in live — this is intentional, to train the agent under real constraints.</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Maximum drawdown threshold: If the rolling 100-trade drawdown exceeds 20%, the agent pauses and sends an alert.</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The live switch is never automatic — it always requires a deliberate human decision.</w:t>
      </w:r>
    </w:p>
    <w:p>
      <w:pPr>
        <w:pBdr>
          <w:bottom w:val="single" w:color="DDDDDD" w:sz="2" w:space="1"/>
        </w:pBdr>
        <w:spacing w:before="200" w:after="200"/>
      </w:pPr>
      <w:r>
        <w:rPr>
          <w:rFonts w:ascii="Arial" w:cs="Arial" w:eastAsia="Arial" w:hAnsi="Arial"/>
          <w:sz w:val="4"/>
          <w:szCs w:val="4"/>
        </w:rPr>
        <w:t xml:space="preserve"/>
      </w:r>
    </w:p>
    <w:p>
      <w:pPr>
        <w:pStyle w:val="Heading1"/>
        <w:pBdr>
          <w:bottom w:val="single" w:color="1D9E75" w:sz="8" w:space="4"/>
        </w:pBdr>
        <w:spacing w:before="400" w:after="200"/>
      </w:pPr>
      <w:r>
        <w:rPr>
          <w:rFonts w:ascii="Arial" w:cs="Arial" w:eastAsia="Arial" w:hAnsi="Arial"/>
          <w:b/>
          <w:bCs/>
          <w:color w:val="0d1a14"/>
          <w:sz w:val="36"/>
          <w:szCs w:val="36"/>
        </w:rPr>
        <w:t xml:space="preserve">13. Notifications (Telegram)</w:t>
      </w:r>
    </w:p>
    <w:p>
      <w:pPr>
        <w:spacing w:before="0" w:after="120"/>
        <w:jc w:val="left"/>
      </w:pPr>
      <w:r>
        <w:rPr>
          <w:rFonts w:ascii="Arial" w:cs="Arial" w:eastAsia="Arial" w:hAnsi="Arial"/>
          <w:b w:val="false"/>
          <w:bCs w:val="false"/>
          <w:i w:val="false"/>
          <w:iCs w:val="false"/>
          <w:color w:val="111111"/>
          <w:sz w:val="22"/>
          <w:szCs w:val="22"/>
        </w:rPr>
        <w:t xml:space="preserve">APEX sends real-time notifications to the operator via a Telegram bot. Setup takes approximately 5 minutes via @BotFather and is completely free.</w:t>
      </w:r>
    </w:p>
    <w:p>
      <w:pPr>
        <w:pStyle w:val="Heading2"/>
        <w:spacing w:before="300" w:after="140"/>
      </w:pPr>
      <w:r>
        <w:rPr>
          <w:rFonts w:ascii="Arial" w:cs="Arial" w:eastAsia="Arial" w:hAnsi="Arial"/>
          <w:b/>
          <w:bCs/>
          <w:color w:val="0F6E56"/>
          <w:sz w:val="28"/>
          <w:szCs w:val="28"/>
        </w:rPr>
        <w:t xml:space="preserve">13.1 Notification Events</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Setup detected: Symbol, timeframe, direction, confluence score.</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LLM council called: Models consulted, individual verdicts, consensus outcome.</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Order placed: Type (market/limit/stop), entry, SL, TP, lot size.</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Order filled: Entry price, timestamp.</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Trade closed: Exit price, P&amp;L, win/loss, trade number.</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Accuracy update: Current win rate, trade count, gate status.</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Gate cleared: Full performance report when accuracy threshold is achieved.</w:t>
      </w:r>
    </w:p>
    <w:p>
      <w:pPr>
        <w:pStyle w:val="ListParagraph"/>
        <w:numPr>
          <w:ilvl w:val="0"/>
          <w:numId w:val="2"/>
        </w:numPr>
        <w:spacing w:before="40" w:after="40"/>
        <w:ind w:left="600" w:hanging="300"/>
      </w:pPr>
      <w:r>
        <w:rPr>
          <w:rFonts w:ascii="Arial" w:cs="Arial" w:eastAsia="Arial" w:hAnsi="Arial"/>
          <w:b w:val="false"/>
          <w:bCs w:val="false"/>
          <w:color w:val="111111"/>
          <w:sz w:val="22"/>
          <w:szCs w:val="22"/>
        </w:rPr>
        <w:t xml:space="preserve">Agent paused: Daily loss limit hit, drawdown warning, news blackout active.</w:t>
      </w:r>
    </w:p>
    <w:p>
      <w:pPr>
        <w:pBdr>
          <w:bottom w:val="single" w:color="DDDDDD" w:sz="2" w:space="1"/>
        </w:pBdr>
        <w:spacing w:before="200" w:after="200"/>
      </w:pPr>
      <w:r>
        <w:rPr>
          <w:rFonts w:ascii="Arial" w:cs="Arial" w:eastAsia="Arial" w:hAnsi="Arial"/>
          <w:sz w:val="4"/>
          <w:szCs w:val="4"/>
        </w:rPr>
        <w:t xml:space="preserve"/>
      </w:r>
    </w:p>
    <w:p>
      <w:pPr>
        <w:pStyle w:val="Heading1"/>
        <w:pBdr>
          <w:bottom w:val="single" w:color="1D9E75" w:sz="8" w:space="4"/>
        </w:pBdr>
        <w:spacing w:before="400" w:after="200"/>
      </w:pPr>
      <w:r>
        <w:rPr>
          <w:rFonts w:ascii="Arial" w:cs="Arial" w:eastAsia="Arial" w:hAnsi="Arial"/>
          <w:b/>
          <w:bCs/>
          <w:color w:val="0d1a14"/>
          <w:sz w:val="36"/>
          <w:szCs w:val="36"/>
        </w:rPr>
        <w:t xml:space="preserve">14.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0F6E56" w:sz="1"/>
              <w:left w:val="single" w:color="0F6E56" w:sz="1"/>
              <w:bottom w:val="single" w:color="0F6E56" w:sz="1"/>
              <w:right w:val="single" w:color="0F6E56" w:sz="1"/>
            </w:tcBorders>
            <w:shd w:fill="0F6E56" w:val="clear"/>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FFFFFF"/>
                <w:sz w:val="20"/>
                <w:szCs w:val="20"/>
              </w:rPr>
              <w:t xml:space="preserve">Phase</w:t>
            </w:r>
          </w:p>
        </w:tc>
        <w:tc>
          <w:tcPr>
            <w:tcW w:type="dxa" w:w="2200"/>
            <w:tcBorders>
              <w:top w:val="single" w:color="0F6E56" w:sz="1"/>
              <w:left w:val="single" w:color="0F6E56" w:sz="1"/>
              <w:bottom w:val="single" w:color="0F6E56" w:sz="1"/>
              <w:right w:val="single" w:color="0F6E56" w:sz="1"/>
            </w:tcBorders>
            <w:shd w:fill="0F6E56" w:val="clear"/>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FFFFFF"/>
                <w:sz w:val="20"/>
                <w:szCs w:val="20"/>
              </w:rPr>
              <w:t xml:space="preserve">Name</w:t>
            </w:r>
          </w:p>
        </w:tc>
        <w:tc>
          <w:tcPr>
            <w:tcW w:type="dxa" w:w="5760"/>
            <w:tcBorders>
              <w:top w:val="single" w:color="0F6E56" w:sz="1"/>
              <w:left w:val="single" w:color="0F6E56" w:sz="1"/>
              <w:bottom w:val="single" w:color="0F6E56" w:sz="1"/>
              <w:right w:val="single" w:color="0F6E56" w:sz="1"/>
            </w:tcBorders>
            <w:shd w:fill="0F6E56" w:val="clear"/>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FFFFFF"/>
                <w:sz w:val="20"/>
                <w:szCs w:val="20"/>
              </w:rPr>
              <w:t xml:space="preserve">Deliverables</w:t>
            </w:r>
          </w:p>
        </w:tc>
      </w:tr>
      <w:tr>
        <w:tc>
          <w:tcPr>
            <w:tcW w:type="dxa" w:w="1400"/>
            <w:tcBorders>
              <w:top w:val="single" w:color="DDDDDD" w:sz="1"/>
              <w:left w:val="single" w:color="DDDDDD" w:sz="1"/>
              <w:bottom w:val="single" w:color="DDDDDD" w:sz="1"/>
              <w:right w:val="single" w:color="DDDDDD" w:sz="1"/>
            </w:tcBorders>
            <w:shd w:fill="F0FAF6" w:val="clear"/>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1</w:t>
            </w:r>
          </w:p>
        </w:tc>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Foundation</w:t>
            </w:r>
          </w:p>
        </w:tc>
        <w:tc>
          <w:tcPr>
            <w:tcW w:type="dxa" w:w="57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MT5 Python bridge, tick stream, candle builder, news scraper, economic calendar, SQLite journal</w:t>
            </w:r>
          </w:p>
        </w:tc>
      </w:tr>
      <w:tr>
        <w:tc>
          <w:tcPr>
            <w:tcW w:type="dxa" w:w="1400"/>
            <w:tcBorders>
              <w:top w:val="single" w:color="DDDDDD" w:sz="1"/>
              <w:left w:val="single" w:color="DDDDDD" w:sz="1"/>
              <w:bottom w:val="single" w:color="DDDDDD" w:sz="1"/>
              <w:right w:val="single" w:color="DDDDDD" w:sz="1"/>
            </w:tcBorders>
            <w:shd w:fill="F0FAF6" w:val="clear"/>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2</w:t>
            </w:r>
          </w:p>
        </w:tc>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Analysis engine</w:t>
            </w:r>
          </w:p>
        </w:tc>
        <w:tc>
          <w:tcPr>
            <w:tcW w:type="dxa" w:w="57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All 5 concept modules (SMC, TA, PA, Wyckoff, Fundamental), confluence scorer</w:t>
            </w:r>
          </w:p>
        </w:tc>
      </w:tr>
      <w:tr>
        <w:tc>
          <w:tcPr>
            <w:tcW w:type="dxa" w:w="1400"/>
            <w:tcBorders>
              <w:top w:val="single" w:color="DDDDDD" w:sz="1"/>
              <w:left w:val="single" w:color="DDDDDD" w:sz="1"/>
              <w:bottom w:val="single" w:color="DDDDDD" w:sz="1"/>
              <w:right w:val="single" w:color="DDDDDD" w:sz="1"/>
            </w:tcBorders>
            <w:shd w:fill="F0FAF6" w:val="clear"/>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3</w:t>
            </w:r>
          </w:p>
        </w:tc>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LLM council</w:t>
            </w:r>
          </w:p>
        </w:tc>
        <w:tc>
          <w:tcPr>
            <w:tcW w:type="dxa" w:w="57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Ollama adapter, Groq adapter, Gemini adapter, consensus logic, prompt engineering</w:t>
            </w:r>
          </w:p>
        </w:tc>
      </w:tr>
      <w:tr>
        <w:tc>
          <w:tcPr>
            <w:tcW w:type="dxa" w:w="1400"/>
            <w:tcBorders>
              <w:top w:val="single" w:color="DDDDDD" w:sz="1"/>
              <w:left w:val="single" w:color="DDDDDD" w:sz="1"/>
              <w:bottom w:val="single" w:color="DDDDDD" w:sz="1"/>
              <w:right w:val="single" w:color="DDDDDD" w:sz="1"/>
            </w:tcBorders>
            <w:shd w:fill="F0FAF6" w:val="clear"/>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4</w:t>
            </w:r>
          </w:p>
        </w:tc>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Execution</w:t>
            </w:r>
          </w:p>
        </w:tc>
        <w:tc>
          <w:tcPr>
            <w:tcW w:type="dxa" w:w="57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Smart order placement, trade lifecycle manager, order cancellation logic</w:t>
            </w:r>
          </w:p>
        </w:tc>
      </w:tr>
      <w:tr>
        <w:tc>
          <w:tcPr>
            <w:tcW w:type="dxa" w:w="1400"/>
            <w:tcBorders>
              <w:top w:val="single" w:color="DDDDDD" w:sz="1"/>
              <w:left w:val="single" w:color="DDDDDD" w:sz="1"/>
              <w:bottom w:val="single" w:color="DDDDDD" w:sz="1"/>
              <w:right w:val="single" w:color="DDDDDD" w:sz="1"/>
            </w:tcBorders>
            <w:shd w:fill="F0FAF6" w:val="clear"/>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5</w:t>
            </w:r>
          </w:p>
        </w:tc>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Learning loop</w:t>
            </w:r>
          </w:p>
        </w:tc>
        <w:tc>
          <w:tcPr>
            <w:tcW w:type="dxa" w:w="57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Post-trade review, lesson storage, prompt injection, accuracy gate, Telegram alerts</w:t>
            </w:r>
          </w:p>
        </w:tc>
      </w:tr>
      <w:tr>
        <w:tc>
          <w:tcPr>
            <w:tcW w:type="dxa" w:w="1400"/>
            <w:tcBorders>
              <w:top w:val="single" w:color="DDDDDD" w:sz="1"/>
              <w:left w:val="single" w:color="DDDDDD" w:sz="1"/>
              <w:bottom w:val="single" w:color="DDDDDD" w:sz="1"/>
              <w:right w:val="single" w:color="DDDDDD" w:sz="1"/>
            </w:tcBorders>
            <w:shd w:fill="F0FAF6" w:val="clear"/>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6</w:t>
            </w:r>
          </w:p>
        </w:tc>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Dashboard &amp; CLI</w:t>
            </w:r>
          </w:p>
        </w:tc>
        <w:tc>
          <w:tcPr>
            <w:tcW w:type="dxa" w:w="57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Terminal UI, live positions panel, accuracy charts, log viewer, apex CLI commands</w:t>
            </w:r>
          </w:p>
        </w:tc>
      </w:tr>
      <w:tr>
        <w:tc>
          <w:tcPr>
            <w:tcW w:type="dxa" w:w="1400"/>
            <w:tcBorders>
              <w:top w:val="single" w:color="DDDDDD" w:sz="1"/>
              <w:left w:val="single" w:color="DDDDDD" w:sz="1"/>
              <w:bottom w:val="single" w:color="DDDDDD" w:sz="1"/>
              <w:right w:val="single" w:color="DDDDDD" w:sz="1"/>
            </w:tcBorders>
            <w:shd w:fill="F0FAF6" w:val="clear"/>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7</w:t>
            </w:r>
          </w:p>
        </w:tc>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Demo trading</w:t>
            </w:r>
          </w:p>
        </w:tc>
        <w:tc>
          <w:tcPr>
            <w:tcW w:type="dxa" w:w="57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Full system running on MT5 demo. Accumulate 100+ trades. Monitor accuracy gate.</w:t>
            </w:r>
          </w:p>
        </w:tc>
      </w:tr>
      <w:tr>
        <w:tc>
          <w:tcPr>
            <w:tcW w:type="dxa" w:w="1400"/>
            <w:tcBorders>
              <w:top w:val="single" w:color="DDDDDD" w:sz="1"/>
              <w:left w:val="single" w:color="DDDDDD" w:sz="1"/>
              <w:bottom w:val="single" w:color="DDDDDD" w:sz="1"/>
              <w:right w:val="single" w:color="DDDDDD" w:sz="1"/>
            </w:tcBorders>
            <w:shd w:fill="F0FAF6" w:val="clear"/>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8</w:t>
            </w:r>
          </w:p>
        </w:tc>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bCs/>
                <w:i w:val="false"/>
                <w:iCs w:val="false"/>
                <w:color w:val="111111"/>
                <w:sz w:val="20"/>
                <w:szCs w:val="20"/>
              </w:rPr>
              <w:t xml:space="preserve">Live transition</w:t>
            </w:r>
          </w:p>
        </w:tc>
        <w:tc>
          <w:tcPr>
            <w:tcW w:type="dxa" w:w="57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spacing w:before="0" w:after="120"/>
              <w:jc w:val="left"/>
            </w:pPr>
            <w:r>
              <w:rPr>
                <w:rFonts w:ascii="Arial" w:cs="Arial" w:eastAsia="Arial" w:hAnsi="Arial"/>
                <w:b w:val="false"/>
                <w:bCs w:val="false"/>
                <w:i w:val="false"/>
                <w:iCs w:val="false"/>
                <w:color w:val="111111"/>
                <w:sz w:val="20"/>
                <w:szCs w:val="20"/>
              </w:rPr>
              <w:t xml:space="preserve">Gate cleared. Operator review. Manual live flag set. APEX trades real money.</w:t>
            </w:r>
          </w:p>
        </w:tc>
      </w:tr>
    </w:tbl>
    <w:p>
      <w:pPr>
        <w:spacing w:before="200" w:after="0"/>
      </w:pPr>
    </w:p>
    <w:p>
      <w:pPr>
        <w:pBdr>
          <w:bottom w:val="single" w:color="DDDDDD" w:sz="2" w:space="1"/>
        </w:pBdr>
        <w:spacing w:before="200" w:after="200"/>
      </w:pPr>
      <w:r>
        <w:rPr>
          <w:rFonts w:ascii="Arial" w:cs="Arial" w:eastAsia="Arial" w:hAnsi="Arial"/>
          <w:sz w:val="4"/>
          <w:szCs w:val="4"/>
        </w:rPr>
        <w:t xml:space="preserve"/>
      </w:r>
    </w:p>
    <w:p>
      <w:pPr>
        <w:pStyle w:val="Heading1"/>
        <w:pBdr>
          <w:bottom w:val="single" w:color="1D9E75" w:sz="8" w:space="4"/>
        </w:pBdr>
        <w:spacing w:before="400" w:after="200"/>
      </w:pPr>
      <w:r>
        <w:rPr>
          <w:rFonts w:ascii="Arial" w:cs="Arial" w:eastAsia="Arial" w:hAnsi="Arial"/>
          <w:b/>
          <w:bCs/>
          <w:color w:val="0d1a14"/>
          <w:sz w:val="36"/>
          <w:szCs w:val="36"/>
        </w:rPr>
        <w:t xml:space="preserve">15. Risk Disclaimer</w:t>
      </w:r>
    </w:p>
    <w:p>
      <w:pPr>
        <w:spacing w:before="0" w:after="160"/>
        <w:jc w:val="left"/>
      </w:pPr>
      <w:r>
        <w:rPr>
          <w:rFonts w:ascii="Arial" w:cs="Arial" w:eastAsia="Arial" w:hAnsi="Arial"/>
          <w:b w:val="false"/>
          <w:bCs w:val="false"/>
          <w:i w:val="false"/>
          <w:iCs w:val="false"/>
          <w:color w:val="111111"/>
          <w:sz w:val="22"/>
          <w:szCs w:val="22"/>
        </w:rPr>
        <w:t xml:space="preserve">APEX is an experimental autonomous trading system. Trading financial instruments carries significant risk of loss. Past performance — including demo performance — does not guarantee future results. The accuracy gate is a statistical safeguard, not a guarantee of profitability.</w:t>
      </w:r>
    </w:p>
    <w:p>
      <w:pPr>
        <w:spacing w:before="0" w:after="160"/>
        <w:jc w:val="left"/>
      </w:pPr>
      <w:r>
        <w:rPr>
          <w:rFonts w:ascii="Arial" w:cs="Arial" w:eastAsia="Arial" w:hAnsi="Arial"/>
          <w:b w:val="false"/>
          <w:bCs w:val="false"/>
          <w:i w:val="false"/>
          <w:iCs w:val="false"/>
          <w:color w:val="111111"/>
          <w:sz w:val="22"/>
          <w:szCs w:val="22"/>
        </w:rPr>
        <w:t xml:space="preserve">By proceeding to live trading, the operator accepts full responsibility for all financial outcomes. APEX is provided as-is, with no warranty of any kind. The operator should never risk capital they cannot afford to lose.</w:t>
      </w:r>
    </w:p>
    <w:p>
      <w:pPr>
        <w:spacing w:before="0" w:after="120"/>
        <w:jc w:val="left"/>
      </w:pPr>
      <w:r>
        <w:rPr>
          <w:rFonts w:ascii="Arial" w:cs="Arial" w:eastAsia="Arial" w:hAnsi="Arial"/>
          <w:b w:val="false"/>
          <w:bCs w:val="false"/>
          <w:i/>
          <w:iCs/>
          <w:color w:val="555555"/>
          <w:sz w:val="22"/>
          <w:szCs w:val="22"/>
        </w:rPr>
        <w:t xml:space="preserve">The developers of APEX are not licensed financial advisors. Nothing in this document or in the APEX software constitutes financial advice.</w:t>
      </w:r>
    </w:p>
    <w:p>
      <w:pPr>
        <w:pBdr>
          <w:bottom w:val="single" w:color="DDDDDD" w:sz="2" w:space="1"/>
        </w:pBdr>
        <w:spacing w:before="200" w:after="200"/>
      </w:pPr>
      <w:r>
        <w:rPr>
          <w:rFonts w:ascii="Arial" w:cs="Arial" w:eastAsia="Arial" w:hAnsi="Arial"/>
          <w:sz w:val="4"/>
          <w:szCs w:val="4"/>
        </w:rPr>
        <w:t xml:space="preserve"/>
      </w:r>
    </w:p>
    <w:p>
      <w:pPr>
        <w:spacing w:before="300" w:after="0"/>
        <w:jc w:val="center"/>
      </w:pPr>
      <w:r>
        <w:rPr>
          <w:rFonts w:ascii="Arial" w:cs="Arial" w:eastAsia="Arial" w:hAnsi="Arial"/>
          <w:b/>
          <w:bCs/>
          <w:color w:val="1D9E75"/>
          <w:sz w:val="24"/>
          <w:szCs w:val="24"/>
        </w:rPr>
        <w:t xml:space="preserve">APEX</w:t>
      </w:r>
      <w:r>
        <w:rPr>
          <w:rFonts w:ascii="Arial" w:cs="Arial" w:eastAsia="Arial" w:hAnsi="Arial"/>
          <w:color w:val="555555"/>
          <w:sz w:val="20"/>
          <w:szCs w:val="20"/>
        </w:rPr>
        <w:t xml:space="preserve">  —  Autonomous Price Execution Agent  ·  v1.0.0  ·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2"/>
      </w:pBdr>
      <w:jc w:val="right"/>
    </w:pPr>
    <w:r>
      <w:rPr>
        <w:rFonts w:ascii="Arial" w:cs="Arial" w:eastAsia="Arial" w:hAnsi="Arial"/>
        <w:color w:val="555555"/>
        <w:sz w:val="16"/>
        <w:szCs w:val="16"/>
      </w:rPr>
      <w:t xml:space="preserve">Confidential — APEX Project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2"/>
      </w:pBdr>
      <w:spacing w:after="0"/>
    </w:pPr>
    <w:r>
      <w:rPr>
        <w:rFonts w:ascii="Arial" w:cs="Arial" w:eastAsia="Arial" w:hAnsi="Arial"/>
        <w:b/>
        <w:bCs/>
        <w:color w:val="1D9E75"/>
        <w:sz w:val="18"/>
        <w:szCs w:val="18"/>
      </w:rPr>
      <w:t xml:space="preserve">APEX</w:t>
    </w:r>
    <w:r>
      <w:rPr>
        <w:rFonts w:ascii="Arial" w:cs="Arial" w:eastAsia="Arial" w:hAnsi="Arial"/>
        <w:color w:val="555555"/>
        <w:sz w:val="18"/>
        <w:szCs w:val="18"/>
      </w:rPr>
      <w:t xml:space="preserve">  —  Autonomous Price Execution Agent  |  Technical Whitepaper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color w:val="1D9E75"/>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1a14"/>
      <w:sz w:val="36"/>
      <w:szCs w:val="36"/>
    </w:rPr>
  </w:style>
  <w:style w:type="paragraph" w:styleId="Heading2">
    <w:name w:val="Heading 2"/>
    <w:basedOn w:val="Normal"/>
    <w:next w:val="Normal"/>
    <w:qFormat/>
    <w:pPr>
      <w:spacing w:before="300" w:after="140"/>
      <w:outlineLvl w:val="1"/>
    </w:pPr>
    <w:rPr>
      <w:rFonts w:ascii="Arial" w:cs="Arial" w:eastAsia="Arial" w:hAnsi="Arial"/>
      <w:b/>
      <w:bCs/>
      <w:color w:val="0F6E5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2026-03-23T13:37:46.547Z</dcterms:created>
  <dcterms:modified xsi:type="dcterms:W3CDTF">2026-03-23T13:37:46.548Z</dcterms:modified>
</cp:coreProperties>
</file>

<file path=docProps/custom.xml><?xml version="1.0" encoding="utf-8"?>
<Properties xmlns="http://schemas.openxmlformats.org/officeDocument/2006/custom-properties" xmlns:vt="http://schemas.openxmlformats.org/officeDocument/2006/docPropsVTypes"/>
</file>