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33d20bb435ef44d4" /><Relationship Type="http://schemas.openxmlformats.org/package/2006/relationships/metadata/core-properties" Target="/docProps/core.xml" Id="Rad8cad72bf3f4a95" /><Relationship Type="http://schemas.openxmlformats.org/officeDocument/2006/relationships/extended-properties" Target="/docProps/app.xml" Id="R206786189b8d4eeb" /><Relationship Type="http://schemas.openxmlformats.org/officeDocument/2006/relationships/custom-properties" Target="/docProps/custom.xml" Id="R417339ff32a44dac"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360"/>
        <w:jc w:val="center"/>
      </w:pPr>
      <w:r>
        <w:rPr>
          <w:b/>
          <w:sz w:val="44"/>
        </w:rPr>
        <w:t xml:space="preserve">IBM SkillsBuild Data Analytics with AI Academic Internship Program 2026</w:t>
      </w:r>
    </w:p>
    <w:p w14:paraId="00100002" w14:textId="00100003">
      <w:pPr>
        <w:pStyle w:val="Heading1"/>
        <w:spacing w:after="240"/>
        <w:jc w:val="center"/>
      </w:pPr>
      <w:r>
        <w:rPr>
          <w:b/>
          <w:sz w:val="40"/>
        </w:rPr>
        <w:t xml:space="preserve">Real-World Retail Data Cleaning and Exploratory Analysis</w:t>
      </w:r>
    </w:p>
    <w:p w14:paraId="00100004" w14:textId="00100005">
      <w:pPr>
        <w:spacing w:after="120"/>
        <w:jc w:val="center"/>
      </w:pPr>
      <w:r>
        <w:rPr>
          <w:sz w:val="28"/>
        </w:rPr>
        <w:t xml:space="preserve">Student Name: Kunnal</w:t>
      </w:r>
    </w:p>
    <w:p w14:paraId="00100006" w14:textId="00100007">
      <w:pPr>
        <w:spacing w:after="120"/>
        <w:jc w:val="center"/>
      </w:pPr>
      <w:r>
        <w:rPr>
          <w:sz w:val="24"/>
        </w:rPr>
        <w:t xml:space="preserve">Program: IBM SkillsBuild Data Analytics with AI Academic Internship 2026</w:t>
      </w:r>
    </w:p>
    <w:p w14:paraId="00100008" w14:textId="00100009">
      <w:pPr>
        <w:spacing w:after="120"/>
        <w:jc w:val="center"/>
      </w:pPr>
      <w:r>
        <w:rPr>
          <w:sz w:val="24"/>
        </w:rPr>
        <w:t xml:space="preserve">Offered By: BharatCares / AICTE</w:t>
      </w:r>
    </w:p>
    <w:p w14:paraId="0010000A" w14:textId="0010000B">
      <w:pPr>
        <w:spacing w:after="120"/>
        <w:jc w:val="center"/>
      </w:pPr>
      <w:r>
        <w:rPr>
          <w:sz w:val="24"/>
        </w:rPr>
        <w:t xml:space="preserve">Project: Real-World Retail Data Cleaning and Exploratory Analysis</w:t>
      </w:r>
    </w:p>
    <w:p w14:paraId="0010000C" w14:textId="0010000D">
      <w:pPr>
        <w:spacing w:after="120"/>
        <w:jc w:val="center"/>
      </w:pPr>
      <w:r>
        <w:rPr>
          <w:sz w:val="24"/>
        </w:rPr>
        <w:t xml:space="preserve">Dataset: online_retail_real_world.csv</w:t>
      </w:r>
    </w:p>
    <w:p w14:paraId="0010000E" w14:textId="0010000F">
      <w:pPr>
        <w:spacing w:after="480"/>
        <w:jc w:val="center"/>
      </w:pPr>
      <w:r>
        <w:rPr>
          <w:sz w:val="20"/>
        </w:rPr>
        <w:t xml:space="preserve">Dataset Source: https://www.kaggle.com/datasets/nudratabbas/real-world-retail-data-for-data-cleaning-easy</w:t>
      </w:r>
    </w:p>
    <w:p w14:paraId="00100010" w14:textId="00100011">
      <w:pPr>
        <w:pStyle w:val="Heading1"/>
        <w:spacing w:after="200"/>
        <w:jc w:val="center"/>
      </w:pPr>
      <w:r>
        <w:rPr>
          <w:b/>
          <w:sz w:val="32"/>
        </w:rPr>
        <w:t xml:space="preserve">Table of Contents</w:t>
      </w:r>
    </w:p>
    <w:p w14:paraId="00100012" w14:textId="00100013">
      <w:pPr>
        <w:spacing w:after="400"/>
      </w:pPr>
      <w:r>
        <w:rPr>
          <w:sz w:val="22"/>
        </w:rPr>
        <w:t xml:space="preserve">1. Introduction</w:t>
      </w:r>
    </w:p>
    <w:p w14:paraId="00100014" w14:textId="00100015">
      <w:pPr>
        <w:spacing w:after="400"/>
      </w:pPr>
      <w:r>
        <w:rPr>
          <w:sz w:val="22"/>
        </w:rPr>
        <w:t xml:space="preserve">2. Project Overview</w:t>
      </w:r>
    </w:p>
    <w:p w14:paraId="00100016" w14:textId="00100017">
      <w:pPr>
        <w:spacing w:after="400"/>
      </w:pPr>
      <w:r>
        <w:rPr>
          <w:sz w:val="22"/>
        </w:rPr>
        <w:t xml:space="preserve">3. Problem Statement</w:t>
      </w:r>
    </w:p>
    <w:p w14:paraId="00100018" w14:textId="00100019">
      <w:pPr>
        <w:spacing w:after="400"/>
      </w:pPr>
      <w:r>
        <w:rPr>
          <w:sz w:val="22"/>
        </w:rPr>
        <w:t xml:space="preserve">4. Objectives</w:t>
      </w:r>
    </w:p>
    <w:p w14:paraId="0010001A" w14:textId="0010001B">
      <w:pPr>
        <w:spacing w:after="400"/>
      </w:pPr>
      <w:r>
        <w:rPr>
          <w:sz w:val="22"/>
        </w:rPr>
        <w:t xml:space="preserve">5. Dataset Description</w:t>
      </w:r>
    </w:p>
    <w:p w14:paraId="0010001C" w14:textId="0010001D">
      <w:pPr>
        <w:spacing w:after="400"/>
      </w:pPr>
      <w:r>
        <w:rPr>
          <w:sz w:val="22"/>
        </w:rPr>
        <w:t xml:space="preserve">6. Dataset Source</w:t>
      </w:r>
    </w:p>
    <w:p w14:paraId="0010001E" w14:textId="0010001F">
      <w:pPr>
        <w:spacing w:after="400"/>
      </w:pPr>
      <w:r>
        <w:rPr>
          <w:sz w:val="22"/>
        </w:rPr>
        <w:t xml:space="preserve">7. Data Quality Problems</w:t>
      </w:r>
    </w:p>
    <w:p w14:paraId="00100020" w14:textId="00100021">
      <w:pPr>
        <w:spacing w:after="400"/>
      </w:pPr>
      <w:r>
        <w:rPr>
          <w:sz w:val="22"/>
        </w:rPr>
        <w:t xml:space="preserve">8. Data Cleaning Methodology</w:t>
      </w:r>
    </w:p>
    <w:p w14:paraId="00100022" w14:textId="00100023">
      <w:pPr>
        <w:spacing w:after="400"/>
      </w:pPr>
      <w:r>
        <w:rPr>
          <w:sz w:val="22"/>
        </w:rPr>
        <w:t xml:space="preserve">9. Handling Missing Values</w:t>
      </w:r>
    </w:p>
    <w:p w14:paraId="00100024" w14:textId="00100025">
      <w:pPr>
        <w:spacing w:after="400"/>
      </w:pPr>
      <w:r>
        <w:rPr>
          <w:sz w:val="22"/>
        </w:rPr>
        <w:t xml:space="preserve">10. Handling Duplicates</w:t>
      </w:r>
    </w:p>
    <w:p w14:paraId="00100026" w14:textId="00100027">
      <w:pPr>
        <w:spacing w:after="400"/>
      </w:pPr>
      <w:r>
        <w:rPr>
          <w:sz w:val="22"/>
        </w:rPr>
        <w:t xml:space="preserve">11. Data Standardization</w:t>
      </w:r>
    </w:p>
    <w:p w14:paraId="00100028" w14:textId="00100029">
      <w:pPr>
        <w:spacing w:after="400"/>
      </w:pPr>
      <w:r>
        <w:rPr>
          <w:sz w:val="22"/>
        </w:rPr>
        <w:t xml:space="preserve">12. Data Type Conversion</w:t>
      </w:r>
    </w:p>
    <w:p w14:paraId="0010002A" w14:textId="0010002B">
      <w:pPr>
        <w:spacing w:after="400"/>
      </w:pPr>
      <w:r>
        <w:rPr>
          <w:sz w:val="22"/>
        </w:rPr>
        <w:t xml:space="preserve">13. Data Validation</w:t>
      </w:r>
    </w:p>
    <w:p w14:paraId="0010002C" w14:textId="0010002D">
      <w:pPr>
        <w:spacing w:after="400"/>
      </w:pPr>
      <w:r>
        <w:rPr>
          <w:sz w:val="22"/>
        </w:rPr>
        <w:t xml:space="preserve">14. Exploratory Data Analysis</w:t>
      </w:r>
    </w:p>
    <w:p w14:paraId="0010002E" w14:textId="0010002F">
      <w:pPr>
        <w:spacing w:after="400"/>
      </w:pPr>
      <w:r>
        <w:rPr>
          <w:sz w:val="22"/>
        </w:rPr>
        <w:t xml:space="preserve">15. Data Visualizations</w:t>
      </w:r>
    </w:p>
    <w:p w14:paraId="00100030" w14:textId="00100031">
      <w:pPr>
        <w:spacing w:after="400"/>
      </w:pPr>
      <w:r>
        <w:rPr>
          <w:sz w:val="22"/>
        </w:rPr>
        <w:t xml:space="preserve">16. Key Findings</w:t>
      </w:r>
    </w:p>
    <w:p w14:paraId="00100032" w14:textId="00100033">
      <w:pPr>
        <w:spacing w:after="400"/>
      </w:pPr>
      <w:r>
        <w:rPr>
          <w:sz w:val="22"/>
        </w:rPr>
        <w:t xml:space="preserve">17. Business Insights</w:t>
      </w:r>
    </w:p>
    <w:p w14:paraId="00100034" w14:textId="00100035">
      <w:pPr>
        <w:spacing w:after="400"/>
      </w:pPr>
      <w:r>
        <w:rPr>
          <w:sz w:val="22"/>
        </w:rPr>
        <w:t xml:space="preserve">18. Conclusion</w:t>
      </w:r>
    </w:p>
    <w:p w14:paraId="00100036" w14:textId="00100037">
      <w:pPr>
        <w:spacing w:after="400"/>
      </w:pPr>
      <w:r>
        <w:rPr>
          <w:sz w:val="22"/>
        </w:rPr>
        <w:t xml:space="preserve">19. Limitations</w:t>
      </w:r>
    </w:p>
    <w:p w14:paraId="00100038" w14:textId="00100039">
      <w:pPr>
        <w:spacing w:after="400"/>
      </w:pPr>
      <w:r>
        <w:rPr>
          <w:sz w:val="22"/>
        </w:rPr>
        <w:t xml:space="preserve">20. Future Scope</w:t>
      </w:r>
    </w:p>
    <w:p w14:paraId="0010003A" w14:textId="0010003B">
      <w:pPr>
        <w:spacing w:after="400"/>
      </w:pPr>
      <w:r>
        <w:rPr>
          <w:sz w:val="22"/>
        </w:rPr>
        <w:t xml:space="preserve">21. Technologies Used</w:t>
      </w:r>
    </w:p>
    <w:p w14:paraId="0010003C" w14:textId="0010003D">
      <w:pPr>
        <w:spacing w:after="400"/>
      </w:pPr>
      <w:r>
        <w:rPr>
          <w:sz w:val="22"/>
        </w:rPr>
        <w:t xml:space="preserve">22. References</w:t>
      </w:r>
    </w:p>
    <w:p w14:paraId="0010003E" w14:textId="0010003F">
      <w:pPr>
        <w:pStyle w:val="Heading1"/>
        <w:spacing w:after="160"/>
      </w:pPr>
      <w:r>
        <w:rPr>
          <w:b/>
          <w:sz w:val="32"/>
        </w:rPr>
        <w:t xml:space="preserve">1. Introduction</w:t>
      </w:r>
    </w:p>
    <w:p w14:paraId="00100040" w14:textId="00100041">
      <w:pPr>
        <w:spacing w:after="240"/>
      </w:pPr>
      <w:r>
        <w:rPr>
          <w:sz w:val="22"/>
        </w:rPr>
        <w:t xml:space="preserve">Data quality is the foundation of trustworthy analytics. Before any meaningful business intelligence or machine learning can be applied, raw data must be assessed for completeness, consistency, accuracy, and structural soundness. This project, completed as part of the IBM SkillsBuild Data Analytics with AI Academic Internship Program 2026, applies a rigorous data cleaning and exploratory analysis workflow to a real-world retail dataset.</w:t>
      </w:r>
    </w:p>
    <w:p w14:paraId="00100042" w14:textId="00100043">
      <w:pPr>
        <w:spacing w:after="240"/>
      </w:pPr>
      <w:r>
        <w:rPr>
          <w:sz w:val="22"/>
        </w:rPr>
        <w:t xml:space="preserve"/>
      </w:r>
    </w:p>
    <w:p w14:paraId="00100044" w14:textId="00100045">
      <w:pPr>
        <w:spacing w:after="240"/>
      </w:pPr>
      <w:r>
        <w:rPr>
          <w:sz w:val="22"/>
        </w:rPr>
        <w:t xml:space="preserve">The dataset — online_retail_real_world.csv — contains 3,000 order records from a multi-country retail operation selling snack foods, biscuits, chocolates, chips, and related products. It was published on Kaggle specifically as a data-cleaning practice dataset, and it contains deliberately introduced and naturally occurring data quality issues that mirror real production data.</w:t>
      </w:r>
    </w:p>
    <w:p w14:paraId="00100046" w14:textId="00100047">
      <w:pPr>
        <w:spacing w:after="240"/>
      </w:pPr>
      <w:r>
        <w:rPr>
          <w:sz w:val="22"/>
        </w:rPr>
        <w:t xml:space="preserve"/>
      </w:r>
    </w:p>
    <w:p w14:paraId="00100048" w14:textId="00100049">
      <w:pPr>
        <w:spacing w:after="240"/>
      </w:pPr>
      <w:r>
        <w:rPr>
          <w:sz w:val="22"/>
        </w:rPr>
        <w:t xml:space="preserve">This report documents every stage of the analytical process: initial data inspection, identification of quality problems, cleaning decisions and their justifications, exploratory data analysis, visualizations, and business insights. Every statistic and finding reported here is derived directly from the uploaded dataset.</w:t>
      </w:r>
    </w:p>
    <w:p w14:paraId="0010004A" w14:textId="0010004B">
      <w:pPr>
        <w:pStyle w:val="Heading1"/>
        <w:spacing w:after="160"/>
      </w:pPr>
      <w:r>
        <w:rPr>
          <w:b/>
          <w:sz w:val="32"/>
        </w:rPr>
        <w:t xml:space="preserve">2. Project Overview</w:t>
      </w:r>
    </w:p>
    <w:p w14:paraId="0010004C" w14:textId="0010004D">
      <w:pPr>
        <w:spacing w:after="240"/>
      </w:pPr>
      <w:r>
        <w:rPr>
          <w:sz w:val="22"/>
        </w:rPr>
        <w:t xml:space="preserve">This project demonstrates a complete end-to-end data analytics pipeline built in Python using Jupyter Notebook. The pipeline begins with raw, uncleaned data and produces a validated, analysis-ready dataset accompanied by actionable business insights.</w:t>
      </w:r>
    </w:p>
    <w:p w14:paraId="0010004E" w14:textId="0010004F">
      <w:pPr>
        <w:spacing w:after="240"/>
      </w:pPr>
      <w:r>
        <w:rPr>
          <w:sz w:val="22"/>
        </w:rPr>
        <w:t xml:space="preserve"/>
      </w:r>
    </w:p>
    <w:p w14:paraId="00100050" w14:textId="00100051">
      <w:pPr>
        <w:spacing w:after="240"/>
      </w:pPr>
      <w:r>
        <w:rPr>
          <w:sz w:val="22"/>
        </w:rPr>
        <w:t xml:space="preserve">The project covers the following analytical stages:</w:t>
      </w:r>
    </w:p>
    <w:p w14:paraId="00100052" w14:textId="00100053">
      <w:pPr>
        <w:spacing w:after="240"/>
      </w:pPr>
      <w:r>
        <w:rPr>
          <w:sz w:val="22"/>
        </w:rPr>
        <w:t xml:space="preserve"/>
      </w:r>
    </w:p>
    <w:p w14:paraId="00100054" w14:textId="00100055">
      <w:pPr>
        <w:spacing w:after="240"/>
      </w:pPr>
      <w:r>
        <w:rPr>
          <w:sz w:val="22"/>
        </w:rPr>
        <w:t xml:space="preserve">• Data loading and initial inspection</w:t>
      </w:r>
    </w:p>
    <w:p w14:paraId="00100056" w14:textId="00100057">
      <w:pPr>
        <w:spacing w:after="240"/>
      </w:pPr>
      <w:r>
        <w:rPr>
          <w:sz w:val="22"/>
        </w:rPr>
        <w:t xml:space="preserve">• Data quality assessment across all eight columns</w:t>
      </w:r>
    </w:p>
    <w:p w14:paraId="00100058" w14:textId="00100059">
      <w:pPr>
        <w:spacing w:after="240"/>
      </w:pPr>
      <w:r>
        <w:rPr>
          <w:sz w:val="22"/>
        </w:rPr>
        <w:t xml:space="preserve">• Programmatic data cleaning with justification for each decision</w:t>
      </w:r>
    </w:p>
    <w:p w14:paraId="0010005A" w14:textId="0010005B">
      <w:pPr>
        <w:spacing w:after="240"/>
      </w:pPr>
      <w:r>
        <w:rPr>
          <w:sz w:val="22"/>
        </w:rPr>
        <w:t xml:space="preserve">• Before-vs-after quality comparison</w:t>
      </w:r>
    </w:p>
    <w:p w14:paraId="0010005C" w14:textId="0010005D">
      <w:pPr>
        <w:spacing w:after="240"/>
      </w:pPr>
      <w:r>
        <w:rPr>
          <w:sz w:val="22"/>
        </w:rPr>
        <w:t xml:space="preserve">• Feature engineering to enrich the cleaned dataset</w:t>
      </w:r>
    </w:p>
    <w:p w14:paraId="0010005E" w14:textId="0010005F">
      <w:pPr>
        <w:spacing w:after="240"/>
      </w:pPr>
      <w:r>
        <w:rPr>
          <w:sz w:val="22"/>
        </w:rPr>
        <w:t xml:space="preserve">• Exploratory data analysis with 15 professional visualizations</w:t>
      </w:r>
    </w:p>
    <w:p w14:paraId="00100060" w14:textId="00100061">
      <w:pPr>
        <w:spacing w:after="240"/>
      </w:pPr>
      <w:r>
        <w:rPr>
          <w:sz w:val="22"/>
        </w:rPr>
        <w:t xml:space="preserve">• Key findings and business insights synthesis</w:t>
      </w:r>
    </w:p>
    <w:p w14:paraId="00100062" w14:textId="00100063">
      <w:pPr>
        <w:spacing w:after="240"/>
      </w:pPr>
      <w:r>
        <w:rPr>
          <w:sz w:val="22"/>
        </w:rPr>
        <w:t xml:space="preserve"/>
      </w:r>
    </w:p>
    <w:p w14:paraId="00100064" w14:textId="00100065">
      <w:pPr>
        <w:spacing w:after="240"/>
      </w:pPr>
      <w:r>
        <w:rPr>
          <w:sz w:val="22"/>
        </w:rPr>
        <w:t xml:space="preserve">All Python code is contained in the companion Jupyter Notebook: Kunnal_RealWorldRetailDataCleaning.ipynb. The notebook is fully executable from top to bottom, producing all charts inline and saving them as PNG files in the working directory.</w:t>
      </w:r>
    </w:p>
    <w:p w14:paraId="00100066" w14:textId="00100067">
      <w:pPr>
        <w:pStyle w:val="Heading1"/>
        <w:spacing w:after="160"/>
      </w:pPr>
      <w:r>
        <w:rPr>
          <w:b/>
          <w:sz w:val="32"/>
        </w:rPr>
        <w:t xml:space="preserve">3. Problem Statement</w:t>
      </w:r>
    </w:p>
    <w:p w14:paraId="00100068" w14:textId="00100069">
      <w:pPr>
        <w:spacing w:after="240"/>
      </w:pPr>
      <w:r>
        <w:rPr>
          <w:sz w:val="22"/>
        </w:rPr>
        <w:t xml:space="preserve">A retail business operating across multiple international markets (France, Morocco, United Kingdom, Spain, Germany, and others) collects order data through an automated pipeline. The raw data contains the following known problems:</w:t>
      </w:r>
    </w:p>
    <w:p w14:paraId="0010006A" w14:textId="0010006B">
      <w:pPr>
        <w:spacing w:after="240"/>
      </w:pPr>
      <w:r>
        <w:rPr>
          <w:sz w:val="22"/>
        </w:rPr>
        <w:t xml:space="preserve"/>
      </w:r>
    </w:p>
    <w:p w14:paraId="0010006C" w14:textId="0010006D">
      <w:pPr>
        <w:spacing w:after="240"/>
      </w:pPr>
      <w:r>
        <w:rPr>
          <w:sz w:val="22"/>
        </w:rPr>
        <w:t xml:space="preserve">• Missing product names — 96 records (3.2%) lack a ProductName, preventing product-level analysis.</w:t>
      </w:r>
    </w:p>
    <w:p w14:paraId="0010006E" w14:textId="0010006F">
      <w:pPr>
        <w:spacing w:after="240"/>
      </w:pPr>
      <w:r>
        <w:rPr>
          <w:sz w:val="22"/>
        </w:rPr>
        <w:t xml:space="preserve">• Missing brand names — 335 records (11.2%) have no Brand value, making brand performance reporting incomplete.</w:t>
      </w:r>
    </w:p>
    <w:p w14:paraId="00100070" w14:textId="00100071">
      <w:pPr>
        <w:spacing w:after="240"/>
      </w:pPr>
      <w:r>
        <w:rPr>
          <w:sz w:val="22"/>
        </w:rPr>
        <w:t xml:space="preserve">• Missing unit prices — 385 records (12.8%) have no UnitPrice, preventing revenue calculations.</w:t>
      </w:r>
    </w:p>
    <w:p w14:paraId="00100072" w14:textId="00100073">
      <w:pPr>
        <w:spacing w:after="240"/>
      </w:pPr>
      <w:r>
        <w:rPr>
          <w:sz w:val="22"/>
        </w:rPr>
        <w:t xml:space="preserve">• Missing weight data — 512 records (17.1%) have no Raw_Weight, disabling weight-based analysis.</w:t>
      </w:r>
    </w:p>
    <w:p w14:paraId="00100074" w14:textId="00100075">
      <w:pPr>
        <w:spacing w:after="240"/>
      </w:pPr>
      <w:r>
        <w:rPr>
          <w:sz w:val="22"/>
        </w:rPr>
        <w:t xml:space="preserve">• Duplicate order IDs — 8 OrderID values each appear twice, assigned to different customers and products, breaking any join or deduplication.</w:t>
      </w:r>
    </w:p>
    <w:p w14:paraId="00100076" w14:textId="00100077">
      <w:pPr>
        <w:spacing w:after="240"/>
      </w:pPr>
      <w:r>
        <w:rPr>
          <w:sz w:val="22"/>
        </w:rPr>
        <w:t xml:space="preserve">• Inconsistent brand capitalisation — 120 brand name groups have multiple capitalisation variants (e.g. 'LU', 'Lu', 'lu'), causing over-counting of distinct brands.</w:t>
      </w:r>
    </w:p>
    <w:p w14:paraId="00100078" w14:textId="00100079">
      <w:pPr>
        <w:spacing w:after="240"/>
      </w:pPr>
      <w:r>
        <w:rPr>
          <w:sz w:val="22"/>
        </w:rPr>
        <w:t xml:space="preserve">• Free-text weight field — Raw_Weight contains mixed units (g, gram, ml, kg, klg) and non-numeric text, making it analytically unusable without parsing.</w:t>
      </w:r>
    </w:p>
    <w:p w14:paraId="0010007A" w14:textId="0010007B">
      <w:pPr>
        <w:spacing w:after="240"/>
      </w:pPr>
      <w:r>
        <w:rPr>
          <w:sz w:val="22"/>
        </w:rPr>
        <w:t xml:space="preserve">• Multi-language country lists — Country contains comma-separated lists of countries in English, French, Spanish, German, Arabic, and other languages, with 'en:' tag prefixes and ISO country codes.</w:t>
      </w:r>
    </w:p>
    <w:p w14:paraId="0010007C" w14:textId="0010007D">
      <w:pPr>
        <w:spacing w:after="240"/>
      </w:pPr>
      <w:r>
        <w:rPr>
          <w:sz w:val="22"/>
        </w:rPr>
        <w:t xml:space="preserve">• Object-type date column — OrderDate is stored as a string, preventing date arithmetic and time-series analysis.</w:t>
      </w:r>
    </w:p>
    <w:p w14:paraId="0010007E" w14:textId="0010007F">
      <w:pPr>
        <w:spacing w:after="240"/>
      </w:pPr>
      <w:r>
        <w:rPr>
          <w:sz w:val="22"/>
        </w:rPr>
        <w:t xml:space="preserve"/>
      </w:r>
    </w:p>
    <w:p w14:paraId="00100080" w14:textId="00100081">
      <w:pPr>
        <w:spacing w:after="240"/>
      </w:pPr>
      <w:r>
        <w:rPr>
          <w:sz w:val="22"/>
        </w:rPr>
        <w:t xml:space="preserve">Without resolving these issues, any reporting or machine learning built on this data will produce incorrect results — understated brand counts, wrong revenue totals, broken joins, and misleading market-level aggregations.</w:t>
      </w:r>
    </w:p>
    <w:p w14:paraId="00100082" w14:textId="00100083">
      <w:pPr>
        <w:pStyle w:val="Heading1"/>
        <w:spacing w:after="160"/>
      </w:pPr>
      <w:r>
        <w:rPr>
          <w:b/>
          <w:sz w:val="32"/>
        </w:rPr>
        <w:t xml:space="preserve">4. Objectives</w:t>
      </w:r>
    </w:p>
    <w:p w14:paraId="00100084" w14:textId="00100085">
      <w:pPr>
        <w:spacing w:after="240"/>
      </w:pPr>
      <w:r>
        <w:rPr>
          <w:sz w:val="22"/>
        </w:rPr>
        <w:t xml:space="preserve">The specific objectives of this project are:</w:t>
      </w:r>
    </w:p>
    <w:p w14:paraId="00100086" w14:textId="00100087">
      <w:pPr>
        <w:spacing w:after="240"/>
      </w:pPr>
      <w:r>
        <w:rPr>
          <w:sz w:val="22"/>
        </w:rPr>
        <w:t xml:space="preserve"/>
      </w:r>
    </w:p>
    <w:p w14:paraId="00100088" w14:textId="00100089">
      <w:pPr>
        <w:spacing w:after="240"/>
      </w:pPr>
      <w:r>
        <w:rPr>
          <w:sz w:val="22"/>
        </w:rPr>
        <w:t xml:space="preserve">1. Perform a thorough, column-by-column data quality assessment on the raw dataset.</w:t>
      </w:r>
    </w:p>
    <w:p w14:paraId="0010008A" w14:textId="0010008B">
      <w:pPr>
        <w:spacing w:after="240"/>
      </w:pPr>
      <w:r>
        <w:rPr>
          <w:sz w:val="22"/>
        </w:rPr>
        <w:t xml:space="preserve">2. Clean the dataset programmatically using Python and Pandas, without modifying the original CSV file.</w:t>
      </w:r>
    </w:p>
    <w:p w14:paraId="0010008C" w14:textId="0010008D">
      <w:pPr>
        <w:spacing w:after="240"/>
      </w:pPr>
      <w:r>
        <w:rPr>
          <w:sz w:val="22"/>
        </w:rPr>
        <w:t xml:space="preserve">3. Standardize all column names to lowercase snake_case.</w:t>
      </w:r>
    </w:p>
    <w:p w14:paraId="0010008E" w14:textId="0010008F">
      <w:pPr>
        <w:spacing w:after="240"/>
      </w:pPr>
      <w:r>
        <w:rPr>
          <w:sz w:val="22"/>
        </w:rPr>
        <w:t xml:space="preserve">4. Handle missing values in each column using the statistically and contextually appropriate method.</w:t>
      </w:r>
    </w:p>
    <w:p w14:paraId="00100090" w14:textId="00100091">
      <w:pPr>
        <w:spacing w:after="240"/>
      </w:pPr>
      <w:r>
        <w:rPr>
          <w:sz w:val="22"/>
        </w:rPr>
        <w:t xml:space="preserve">5. Resolve duplicate OrderID records without losing valid order data.</w:t>
      </w:r>
    </w:p>
    <w:p w14:paraId="00100092" w14:textId="00100093">
      <w:pPr>
        <w:spacing w:after="240"/>
      </w:pPr>
      <w:r>
        <w:rPr>
          <w:sz w:val="22"/>
        </w:rPr>
        <w:t xml:space="preserve">6. Standardize brand names to eliminate capitalisation variants.</w:t>
      </w:r>
    </w:p>
    <w:p w14:paraId="00100094" w14:textId="00100095">
      <w:pPr>
        <w:spacing w:after="240"/>
      </w:pPr>
      <w:r>
        <w:rPr>
          <w:sz w:val="22"/>
        </w:rPr>
        <w:t xml:space="preserve">7. Parse the OrderDate column to datetime and extract temporal features.</w:t>
      </w:r>
    </w:p>
    <w:p w14:paraId="00100096" w14:textId="00100097">
      <w:pPr>
        <w:spacing w:after="240"/>
      </w:pPr>
      <w:r>
        <w:rPr>
          <w:sz w:val="22"/>
        </w:rPr>
        <w:t xml:space="preserve">8. Extract a numeric weight value (in grams) from the free-text Raw_Weight field.</w:t>
      </w:r>
    </w:p>
    <w:p w14:paraId="00100098" w14:textId="00100099">
      <w:pPr>
        <w:spacing w:after="240"/>
      </w:pPr>
      <w:r>
        <w:rPr>
          <w:sz w:val="22"/>
        </w:rPr>
        <w:t xml:space="preserve">9. Normalize the Country field by extracting a primary country and removing tags and codes.</w:t>
      </w:r>
    </w:p>
    <w:p w14:paraId="0010009A" w14:textId="0010009B">
      <w:pPr>
        <w:spacing w:after="240"/>
      </w:pPr>
      <w:r>
        <w:rPr>
          <w:sz w:val="22"/>
        </w:rPr>
        <w:t xml:space="preserve">10. Validate the cleaned dataset to confirm all quality issues are resolved.</w:t>
      </w:r>
    </w:p>
    <w:p w14:paraId="0010009C" w14:textId="0010009D">
      <w:pPr>
        <w:spacing w:after="240"/>
      </w:pPr>
      <w:r>
        <w:rPr>
          <w:sz w:val="22"/>
        </w:rPr>
        <w:t xml:space="preserve">11. Perform exploratory data analysis across product, brand, price, weight, time, and geographic dimensions.</w:t>
      </w:r>
    </w:p>
    <w:p w14:paraId="0010009E" w14:textId="0010009F">
      <w:pPr>
        <w:spacing w:after="240"/>
      </w:pPr>
      <w:r>
        <w:rPr>
          <w:sz w:val="22"/>
        </w:rPr>
        <w:t xml:space="preserve">12. Generate 15 professional visualizations with interpretation.</w:t>
      </w:r>
    </w:p>
    <w:p w14:paraId="001000A0" w14:textId="001000A1">
      <w:pPr>
        <w:spacing w:after="240"/>
      </w:pPr>
      <w:r>
        <w:rPr>
          <w:sz w:val="22"/>
        </w:rPr>
        <w:t xml:space="preserve">13. Derive actionable business insights applicable to pricing, market strategy, and operations.</w:t>
      </w:r>
    </w:p>
    <w:p w14:paraId="001000A2" w14:textId="001000A3">
      <w:pPr>
        <w:pStyle w:val="Heading1"/>
        <w:spacing w:after="160"/>
      </w:pPr>
      <w:r>
        <w:rPr>
          <w:b/>
          <w:sz w:val="32"/>
        </w:rPr>
        <w:t xml:space="preserve">5. Dataset Description</w:t>
      </w:r>
    </w:p>
    <w:p w14:paraId="001000A4" w14:textId="001000A5">
      <w:pPr>
        <w:spacing w:after="160"/>
      </w:pPr>
      <w:r>
        <w:rPr>
          <w:sz w:val="22"/>
        </w:rPr>
        <w:t xml:space="preserve">The dataset contains 3,000 rows and 8 columns. It represents retail order transactions from a business selling snack foods, chocolates, biscuits, chips, and related grocery products across multiple countries.</w:t>
      </w:r>
    </w:p>
    <w:p w14:paraId="001000A6" w14:textId="001000A7">
      <w:pPr>
        <w:spacing w:after="160"/>
      </w:pPr>
      <w:r>
        <w:rPr>
          <w:sz w:val="22"/>
        </w:rPr>
        <w:t xml:space="preserve"/>
      </w:r>
    </w:p>
    <w:p w14:paraId="001000A8" w14:textId="001000A9">
      <w:pPr>
        <w:spacing w:after="160"/>
      </w:pPr>
      <w:r>
        <w:rPr>
          <w:sz w:val="22"/>
        </w:rPr>
        <w:t xml:space="preserve">The table below describes each column in the raw dataset:</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AA" w14:textId="001000AB">
            <w:r>
              <w:t xml:space="preserve">Column Name</w:t>
            </w:r>
          </w:p>
        </w:tc>
        <w:tc>
          <w:p w14:paraId="001000AC" w14:textId="001000AD">
            <w:r>
              <w:t xml:space="preserve">Data Type (Raw)</w:t>
            </w:r>
          </w:p>
        </w:tc>
        <w:tc>
          <w:p w14:paraId="001000AE" w14:textId="001000AF">
            <w:r>
              <w:t xml:space="preserve">Description</w:t>
            </w:r>
          </w:p>
        </w:tc>
      </w:tr>
      <w:tr>
        <w:trPr/>
        <w:tc>
          <w:p w14:paraId="001000B0" w14:textId="001000B1">
            <w:r>
              <w:t xml:space="preserve">OrderID</w:t>
            </w:r>
          </w:p>
        </w:tc>
        <w:tc>
          <w:p w14:paraId="001000B2" w14:textId="001000B3">
            <w:r>
              <w:t xml:space="preserve">string</w:t>
            </w:r>
          </w:p>
        </w:tc>
        <w:tc>
          <w:p w14:paraId="001000B4" w14:textId="001000B5">
            <w:r>
              <w:t xml:space="preserve">Unique order identifier (format REC-XXXXXX). 8 duplicates found in raw data.</w:t>
            </w:r>
          </w:p>
        </w:tc>
      </w:tr>
      <w:tr>
        <w:trPr/>
        <w:tc>
          <w:p w14:paraId="001000B6" w14:textId="001000B7">
            <w:r>
              <w:t xml:space="preserve">CustomerID</w:t>
            </w:r>
          </w:p>
        </w:tc>
        <w:tc>
          <w:p w14:paraId="001000B8" w14:textId="001000B9">
            <w:r>
              <w:t xml:space="preserve">int64</w:t>
            </w:r>
          </w:p>
        </w:tc>
        <w:tc>
          <w:p w14:paraId="001000BA" w14:textId="001000BB">
            <w:r>
              <w:t xml:space="preserve">Numeric customer identifier. Range: 5,011 – 14,998.</w:t>
            </w:r>
          </w:p>
        </w:tc>
      </w:tr>
      <w:tr>
        <w:trPr/>
        <w:tc>
          <w:p w14:paraId="001000BC" w14:textId="001000BD">
            <w:r>
              <w:t xml:space="preserve">ProductName</w:t>
            </w:r>
          </w:p>
        </w:tc>
        <w:tc>
          <w:p w14:paraId="001000BE" w14:textId="001000BF">
            <w:r>
              <w:t xml:space="preserve">string</w:t>
            </w:r>
          </w:p>
        </w:tc>
        <w:tc>
          <w:p w14:paraId="001000C0" w14:textId="001000C1">
            <w:r>
              <w:t xml:space="preserve">Name of the product ordered. 96 missing values (3.2%).</w:t>
            </w:r>
          </w:p>
        </w:tc>
      </w:tr>
      <w:tr>
        <w:trPr/>
        <w:tc>
          <w:p w14:paraId="001000C2" w14:textId="001000C3">
            <w:r>
              <w:t xml:space="preserve">Brand</w:t>
            </w:r>
          </w:p>
        </w:tc>
        <w:tc>
          <w:p w14:paraId="001000C4" w14:textId="001000C5">
            <w:r>
              <w:t xml:space="preserve">string</w:t>
            </w:r>
          </w:p>
        </w:tc>
        <w:tc>
          <w:p w14:paraId="001000C6" w14:textId="001000C7">
            <w:r>
              <w:t xml:space="preserve">Brand name(s) of the product. 335 missing (11.2%). 120 capitalisation variants.</w:t>
            </w:r>
          </w:p>
        </w:tc>
      </w:tr>
      <w:tr>
        <w:trPr/>
        <w:tc>
          <w:p w14:paraId="001000C8" w14:textId="001000C9">
            <w:r>
              <w:t xml:space="preserve">Raw_Weight</w:t>
            </w:r>
          </w:p>
        </w:tc>
        <w:tc>
          <w:p w14:paraId="001000CA" w14:textId="001000CB">
            <w:r>
              <w:t xml:space="preserve">string</w:t>
            </w:r>
          </w:p>
        </w:tc>
        <w:tc>
          <w:p w14:paraId="001000CC" w14:textId="001000CD">
            <w:r>
              <w:t xml:space="preserve">Product weight as free-text (e.g. '100 g', '500 ml', '1 klg'). 512 missing (17.1%).</w:t>
            </w:r>
          </w:p>
        </w:tc>
      </w:tr>
      <w:tr>
        <w:trPr/>
        <w:tc>
          <w:p w14:paraId="001000CE" w14:textId="001000CF">
            <w:r>
              <w:t xml:space="preserve">Country</w:t>
            </w:r>
          </w:p>
        </w:tc>
        <w:tc>
          <w:p w14:paraId="001000D0" w14:textId="001000D1">
            <w:r>
              <w:t xml:space="preserve">string</w:t>
            </w:r>
          </w:p>
        </w:tc>
        <w:tc>
          <w:p w14:paraId="001000D2" w14:textId="001000D3">
            <w:r>
              <w:t xml:space="preserve">Comma-separated list of countries. Multi-language, with en: tags and ISO codes.</w:t>
            </w:r>
          </w:p>
        </w:tc>
      </w:tr>
      <w:tr>
        <w:trPr/>
        <w:tc>
          <w:p w14:paraId="001000D4" w14:textId="001000D5">
            <w:r>
              <w:t xml:space="preserve">OrderDate</w:t>
            </w:r>
          </w:p>
        </w:tc>
        <w:tc>
          <w:p w14:paraId="001000D6" w14:textId="001000D7">
            <w:r>
              <w:t xml:space="preserve">string (object)</w:t>
            </w:r>
          </w:p>
        </w:tc>
        <w:tc>
          <w:p w14:paraId="001000D8" w14:textId="001000D9">
            <w:r>
              <w:t xml:space="preserve">Date order was placed (YYYY-MM-DD). Requires conversion to datetime.</w:t>
            </w:r>
          </w:p>
        </w:tc>
      </w:tr>
      <w:tr>
        <w:trPr/>
        <w:tc>
          <w:p w14:paraId="001000DA" w14:textId="001000DB">
            <w:r>
              <w:t xml:space="preserve">UnitPrice</w:t>
            </w:r>
          </w:p>
        </w:tc>
        <w:tc>
          <w:p w14:paraId="001000DC" w14:textId="001000DD">
            <w:r>
              <w:t xml:space="preserve">float64</w:t>
            </w:r>
          </w:p>
        </w:tc>
        <w:tc>
          <w:p w14:paraId="001000DE" w14:textId="001000DF">
            <w:r>
              <w:t xml:space="preserve">Price per unit. Range 1.00–24.99. 385 missing values (12.8%).</w:t>
            </w:r>
          </w:p>
        </w:tc>
      </w:tr>
    </w:tbl>
    <w:p w14:paraId="001000E0" w14:textId="001000E1">
      <w:pPr>
        <w:pStyle w:val="Heading1"/>
        <w:spacing w:after="160"/>
      </w:pPr>
      <w:r>
        <w:rPr>
          <w:b/>
          <w:sz w:val="32"/>
        </w:rPr>
        <w:t xml:space="preserve">6. Dataset Source</w:t>
      </w:r>
    </w:p>
    <w:p w14:paraId="001000E2" w14:textId="001000E3">
      <w:pPr>
        <w:spacing w:after="240"/>
      </w:pPr>
      <w:r>
        <w:rPr>
          <w:sz w:val="22"/>
        </w:rPr>
        <w:t xml:space="preserve">The dataset used in this project is:</w:t>
      </w:r>
    </w:p>
    <w:p w14:paraId="001000E4" w14:textId="001000E5">
      <w:pPr>
        <w:spacing w:after="240"/>
      </w:pPr>
      <w:r>
        <w:rPr>
          <w:sz w:val="22"/>
        </w:rPr>
        <w:t xml:space="preserve"/>
      </w:r>
    </w:p>
    <w:p w14:paraId="001000E6" w14:textId="001000E7">
      <w:pPr>
        <w:spacing w:after="240"/>
      </w:pPr>
      <w:r>
        <w:rPr>
          <w:sz w:val="22"/>
        </w:rPr>
        <w:t xml:space="preserve">Title: Real-World Retail Data for Data Cleaning (Easy)</w:t>
      </w:r>
    </w:p>
    <w:p w14:paraId="001000E8" w14:textId="001000E9">
      <w:pPr>
        <w:spacing w:after="240"/>
      </w:pPr>
      <w:r>
        <w:rPr>
          <w:sz w:val="22"/>
        </w:rPr>
        <w:t xml:space="preserve">Publisher: nudratabbas on Kaggle</w:t>
      </w:r>
    </w:p>
    <w:p w14:paraId="001000EA" w14:textId="001000EB">
      <w:pPr>
        <w:spacing w:after="240"/>
      </w:pPr>
      <w:r>
        <w:rPr>
          <w:sz w:val="22"/>
        </w:rPr>
        <w:t xml:space="preserve">URL: https://www.kaggle.com/datasets/nudratabbas/real-world-retail-data-for-data-cleaning-easy</w:t>
      </w:r>
    </w:p>
    <w:p w14:paraId="001000EC" w14:textId="001000ED">
      <w:pPr>
        <w:spacing w:after="240"/>
      </w:pPr>
      <w:r>
        <w:rPr>
          <w:sz w:val="22"/>
        </w:rPr>
        <w:t xml:space="preserve">File: online_retail_real_world.csv</w:t>
      </w:r>
    </w:p>
    <w:p w14:paraId="001000EE" w14:textId="001000EF">
      <w:pPr>
        <w:spacing w:after="240"/>
      </w:pPr>
      <w:r>
        <w:rPr>
          <w:sz w:val="22"/>
        </w:rPr>
        <w:t xml:space="preserve"/>
      </w:r>
    </w:p>
    <w:p w14:paraId="001000F0" w14:textId="001000F1">
      <w:pPr>
        <w:spacing w:after="240"/>
      </w:pPr>
      <w:r>
        <w:rPr>
          <w:sz w:val="22"/>
        </w:rPr>
        <w:t xml:space="preserve">The dataset was uploaded directly to the IBM Bob AI environment and used as-is without modification to the original CSV file. All cleaning was performed programmatically in Python, preserving the raw file.</w:t>
      </w:r>
    </w:p>
    <w:p w14:paraId="001000F2" w14:textId="001000F3">
      <w:pPr>
        <w:pStyle w:val="Heading1"/>
        <w:spacing w:after="160"/>
      </w:pPr>
      <w:r>
        <w:rPr>
          <w:b/>
          <w:sz w:val="32"/>
        </w:rPr>
        <w:t xml:space="preserve">7. Data Quality Problems Identified</w:t>
      </w:r>
    </w:p>
    <w:p w14:paraId="001000F4" w14:textId="001000F5">
      <w:pPr>
        <w:spacing w:after="240"/>
      </w:pPr>
      <w:r>
        <w:rPr>
          <w:sz w:val="22"/>
        </w:rPr>
        <w:t xml:space="preserve">A systematic assessment of each column revealed the following data quality issues:</w:t>
      </w:r>
    </w:p>
    <w:p w14:paraId="001000F6" w14:textId="001000F7">
      <w:pPr>
        <w:spacing w:after="240"/>
      </w:pPr>
      <w:r>
        <w:rPr>
          <w:sz w:val="22"/>
        </w:rPr>
        <w:t xml:space="preserve"/>
      </w:r>
    </w:p>
    <w:p w14:paraId="001000F8" w14:textId="001000F9">
      <w:pPr>
        <w:spacing w:after="240"/>
      </w:pPr>
      <w:r>
        <w:rPr>
          <w:sz w:val="22"/>
        </w:rPr>
        <w:t xml:space="preserve">7.1 Missing Values</w:t>
      </w:r>
    </w:p>
    <w:p w14:paraId="001000FA" w14:textId="001000FB">
      <w:pPr>
        <w:spacing w:after="240"/>
      </w:pPr>
      <w:r>
        <w:rPr>
          <w:sz w:val="22"/>
        </w:rPr>
        <w:t xml:space="preserve"/>
      </w:r>
    </w:p>
    <w:p w14:paraId="001000FC" w14:textId="001000FD">
      <w:pPr>
        <w:spacing w:after="240"/>
      </w:pPr>
      <w:r>
        <w:rPr>
          <w:sz w:val="22"/>
        </w:rPr>
        <w:t xml:space="preserve">Four of the eight columns contain missing values:</w:t>
      </w:r>
    </w:p>
    <w:p w14:paraId="001000FE" w14:textId="001000FF">
      <w:pPr>
        <w:spacing w:after="240"/>
      </w:pPr>
      <w:r>
        <w:rPr>
          <w:sz w:val="22"/>
        </w:rPr>
        <w:t xml:space="preserve">• ProductName: 96 missing (3.2%)</w:t>
      </w:r>
    </w:p>
    <w:p w14:paraId="00100100" w14:textId="00100101">
      <w:pPr>
        <w:spacing w:after="240"/>
      </w:pPr>
      <w:r>
        <w:rPr>
          <w:sz w:val="22"/>
        </w:rPr>
        <w:t xml:space="preserve">• Brand: 335 missing (11.2%)</w:t>
      </w:r>
    </w:p>
    <w:p w14:paraId="00100102" w14:textId="00100103">
      <w:pPr>
        <w:spacing w:after="240"/>
      </w:pPr>
      <w:r>
        <w:rPr>
          <w:sz w:val="22"/>
        </w:rPr>
        <w:t xml:space="preserve">• Raw_Weight: 512 missing (17.1%) — highest proportion</w:t>
      </w:r>
    </w:p>
    <w:p w14:paraId="00100104" w14:textId="00100105">
      <w:pPr>
        <w:spacing w:after="240"/>
      </w:pPr>
      <w:r>
        <w:rPr>
          <w:sz w:val="22"/>
        </w:rPr>
        <w:t xml:space="preserve">• UnitPrice: 385 missing (12.8%)</w:t>
      </w:r>
    </w:p>
    <w:p w14:paraId="00100106" w14:textId="00100107">
      <w:pPr>
        <w:spacing w:after="240"/>
      </w:pPr>
      <w:r>
        <w:rPr>
          <w:sz w:val="22"/>
        </w:rPr>
        <w:t xml:space="preserve"/>
      </w:r>
    </w:p>
    <w:p w14:paraId="00100108" w14:textId="00100109">
      <w:pPr>
        <w:spacing w:after="240"/>
      </w:pPr>
      <w:r>
        <w:rPr>
          <w:sz w:val="22"/>
        </w:rPr>
        <w:t xml:space="preserve">No missing values were found in OrderID, CustomerID, Country, or OrderDate.</w:t>
      </w:r>
    </w:p>
    <w:p w14:paraId="0010010A" w14:textId="0010010B">
      <w:pPr>
        <w:spacing w:after="240"/>
      </w:pPr>
      <w:r>
        <w:rPr>
          <w:sz w:val="22"/>
        </w:rPr>
        <w:t xml:space="preserve"/>
      </w:r>
    </w:p>
    <w:p w14:paraId="0010010C" w14:textId="0010010D">
      <w:pPr>
        <w:spacing w:after="240"/>
      </w:pPr>
      <w:r>
        <w:rPr>
          <w:sz w:val="22"/>
        </w:rPr>
        <w:t xml:space="preserve">10 rows have ALL of ProductName, Brand, Raw_Weight, and UnitPrice missing simultaneously — these are effectively empty records with only an OrderID, CustomerID, Country, and OrderDate.</w:t>
      </w:r>
    </w:p>
    <w:p w14:paraId="0010010E" w14:textId="0010010F">
      <w:pPr>
        <w:spacing w:after="240"/>
      </w:pPr>
      <w:r>
        <w:rPr>
          <w:sz w:val="22"/>
        </w:rPr>
        <w:t xml:space="preserve"/>
      </w:r>
    </w:p>
    <w:p w14:paraId="00100110" w14:textId="00100111">
      <w:pPr>
        <w:spacing w:after="240"/>
      </w:pPr>
      <w:r>
        <w:rPr>
          <w:sz w:val="22"/>
        </w:rPr>
        <w:t xml:space="preserve">7.2 Duplicate Order IDs</w:t>
      </w:r>
    </w:p>
    <w:p w14:paraId="00100112" w14:textId="00100113">
      <w:pPr>
        <w:spacing w:after="240"/>
      </w:pPr>
      <w:r>
        <w:rPr>
          <w:sz w:val="22"/>
        </w:rPr>
        <w:t xml:space="preserve"/>
      </w:r>
    </w:p>
    <w:p w14:paraId="00100114" w14:textId="00100115">
      <w:pPr>
        <w:spacing w:after="240"/>
      </w:pPr>
      <w:r>
        <w:rPr>
          <w:sz w:val="22"/>
        </w:rPr>
        <w:t xml:space="preserve">8 OrderID values appear exactly twice in the dataset. In every case, the two rows with the same OrderID have different CustomerIDs and different ProductNames — confirming these are data entry errors (ID recycling or collision), not duplicate entries of the same order.</w:t>
      </w:r>
    </w:p>
    <w:p w14:paraId="00100116" w14:textId="00100117">
      <w:pPr>
        <w:spacing w:after="240"/>
      </w:pPr>
      <w:r>
        <w:rPr>
          <w:sz w:val="22"/>
        </w:rPr>
        <w:t xml:space="preserve"/>
      </w:r>
    </w:p>
    <w:p w14:paraId="00100118" w14:textId="00100119">
      <w:pPr>
        <w:spacing w:after="240"/>
      </w:pPr>
      <w:r>
        <w:rPr>
          <w:sz w:val="22"/>
        </w:rPr>
        <w:t xml:space="preserve">7.3 Inconsistent Brand Capitalisation</w:t>
      </w:r>
    </w:p>
    <w:p w14:paraId="0010011A" w14:textId="0010011B">
      <w:pPr>
        <w:spacing w:after="240"/>
      </w:pPr>
      <w:r>
        <w:rPr>
          <w:sz w:val="22"/>
        </w:rPr>
        <w:t xml:space="preserve"/>
      </w:r>
    </w:p>
    <w:p w14:paraId="0010011C" w14:textId="0010011D">
      <w:pPr>
        <w:spacing w:after="240"/>
      </w:pPr>
      <w:r>
        <w:rPr>
          <w:sz w:val="22"/>
        </w:rPr>
        <w:t xml:space="preserve">120 brand name groups have multiple capitalisation variants. Examples:</w:t>
      </w:r>
    </w:p>
    <w:p w14:paraId="0010011E" w14:textId="0010011F">
      <w:pPr>
        <w:spacing w:after="240"/>
      </w:pPr>
      <w:r>
        <w:rPr>
          <w:sz w:val="22"/>
        </w:rPr>
        <w:t xml:space="preserve">• 'LU', 'Lu', 'lu'</w:t>
      </w:r>
    </w:p>
    <w:p w14:paraId="00100120" w14:textId="00100121">
      <w:pPr>
        <w:spacing w:after="240"/>
      </w:pPr>
      <w:r>
        <w:rPr>
          <w:sz w:val="22"/>
        </w:rPr>
        <w:t xml:space="preserve">• 'Excelo', 'EXCELO', 'excelo'</w:t>
      </w:r>
    </w:p>
    <w:p w14:paraId="00100122" w14:textId="00100123">
      <w:pPr>
        <w:spacing w:after="240"/>
      </w:pPr>
      <w:r>
        <w:rPr>
          <w:sz w:val="22"/>
        </w:rPr>
        <w:t xml:space="preserve">• 'Pringles', 'PRINGLES', 'pringles'</w:t>
      </w:r>
    </w:p>
    <w:p w14:paraId="00100124" w14:textId="00100125">
      <w:pPr>
        <w:spacing w:after="240"/>
      </w:pPr>
      <w:r>
        <w:rPr>
          <w:sz w:val="22"/>
        </w:rPr>
        <w:t xml:space="preserve">• 'Tesco finest', 'TESCO finest', 'Tesco Finest'</w:t>
      </w:r>
    </w:p>
    <w:p w14:paraId="00100126" w14:textId="00100127">
      <w:pPr>
        <w:spacing w:after="240"/>
      </w:pPr>
      <w:r>
        <w:rPr>
          <w:sz w:val="22"/>
        </w:rPr>
        <w:t xml:space="preserve">• 'Nature Valley', 'Nature valley', 'NATURE VALLEY'</w:t>
      </w:r>
    </w:p>
    <w:p w14:paraId="00100128" w14:textId="00100129">
      <w:pPr>
        <w:spacing w:after="240"/>
      </w:pPr>
      <w:r>
        <w:rPr>
          <w:sz w:val="22"/>
        </w:rPr>
        <w:t xml:space="preserve"/>
      </w:r>
    </w:p>
    <w:p w14:paraId="0010012A" w14:textId="0010012B">
      <w:pPr>
        <w:spacing w:after="240"/>
      </w:pPr>
      <w:r>
        <w:rPr>
          <w:sz w:val="22"/>
        </w:rPr>
        <w:t xml:space="preserve">7.4 Free-Text Weight Field</w:t>
      </w:r>
    </w:p>
    <w:p w14:paraId="0010012C" w14:textId="0010012D">
      <w:pPr>
        <w:spacing w:after="240"/>
      </w:pPr>
      <w:r>
        <w:rPr>
          <w:sz w:val="22"/>
        </w:rPr>
        <w:t xml:space="preserve"/>
      </w:r>
    </w:p>
    <w:p w14:paraId="0010012E" w14:textId="0010012F">
      <w:pPr>
        <w:spacing w:after="240"/>
      </w:pPr>
      <w:r>
        <w:rPr>
          <w:sz w:val="22"/>
        </w:rPr>
        <w:t xml:space="preserve">Raw_Weight contains inconsistent formats and units:</w:t>
      </w:r>
    </w:p>
    <w:p w14:paraId="00100130" w14:textId="00100131">
      <w:pPr>
        <w:spacing w:after="240"/>
      </w:pPr>
      <w:r>
        <w:rPr>
          <w:sz w:val="22"/>
        </w:rPr>
        <w:t xml:space="preserve">• Standard: '100 g', '150g', '200 gram'</w:t>
      </w:r>
    </w:p>
    <w:p w14:paraId="00100132" w14:textId="00100133">
      <w:pPr>
        <w:spacing w:after="240"/>
      </w:pPr>
      <w:r>
        <w:rPr>
          <w:sz w:val="22"/>
        </w:rPr>
        <w:t xml:space="preserve">• Millilitres: '500 ml' (for beverages)</w:t>
      </w:r>
    </w:p>
    <w:p w14:paraId="00100134" w14:textId="00100135">
      <w:pPr>
        <w:spacing w:after="240"/>
      </w:pPr>
      <w:r>
        <w:rPr>
          <w:sz w:val="22"/>
        </w:rPr>
        <w:t xml:space="preserve">• Kilograms: '1 klg'</w:t>
      </w:r>
    </w:p>
    <w:p w14:paraId="00100136" w14:textId="00100137">
      <w:pPr>
        <w:spacing w:after="240"/>
      </w:pPr>
      <w:r>
        <w:rPr>
          <w:sz w:val="22"/>
        </w:rPr>
        <w:t xml:space="preserve">• Complex strings: '160 g (4x40 g)', '210 g, 5 barres de 42 g'</w:t>
      </w:r>
    </w:p>
    <w:p w14:paraId="00100138" w14:textId="00100139">
      <w:pPr>
        <w:spacing w:after="240"/>
      </w:pPr>
      <w:r>
        <w:rPr>
          <w:sz w:val="22"/>
        </w:rPr>
        <w:t xml:space="preserve">• Invalid text: 'ja', 'ok', 'n.48 - 912g'</w:t>
      </w:r>
    </w:p>
    <w:p w14:paraId="0010013A" w14:textId="0010013B">
      <w:pPr>
        <w:spacing w:after="240"/>
      </w:pPr>
      <w:r>
        <w:rPr>
          <w:sz w:val="22"/>
        </w:rPr>
        <w:t xml:space="preserve"/>
      </w:r>
    </w:p>
    <w:p w14:paraId="0010013C" w14:textId="0010013D">
      <w:pPr>
        <w:spacing w:after="240"/>
      </w:pPr>
      <w:r>
        <w:rPr>
          <w:sz w:val="22"/>
        </w:rPr>
        <w:t xml:space="preserve">7.5 Multi-Language, Multi-Value Country Field</w:t>
      </w:r>
    </w:p>
    <w:p w14:paraId="0010013E" w14:textId="0010013F">
      <w:pPr>
        <w:spacing w:after="240"/>
      </w:pPr>
      <w:r>
        <w:rPr>
          <w:sz w:val="22"/>
        </w:rPr>
        <w:t xml:space="preserve"/>
      </w:r>
    </w:p>
    <w:p w14:paraId="00100140" w14:textId="00100141">
      <w:pPr>
        <w:spacing w:after="240"/>
      </w:pPr>
      <w:r>
        <w:rPr>
          <w:sz w:val="22"/>
        </w:rPr>
        <w:t xml:space="preserve">The Country column contains:</w:t>
      </w:r>
    </w:p>
    <w:p w14:paraId="00100142" w14:textId="00100143">
      <w:pPr>
        <w:spacing w:after="240"/>
      </w:pPr>
      <w:r>
        <w:rPr>
          <w:sz w:val="22"/>
        </w:rPr>
        <w:t xml:space="preserve">• Comma-separated lists of countries (most products are sold in 5–20 countries)</w:t>
      </w:r>
    </w:p>
    <w:p w14:paraId="00100144" w14:textId="00100145">
      <w:pPr>
        <w:spacing w:after="240"/>
      </w:pPr>
      <w:r>
        <w:rPr>
          <w:sz w:val="22"/>
        </w:rPr>
        <w:t xml:space="preserve">• Country names in English, French, Spanish, German, Dutch, Arabic, Polish</w:t>
      </w:r>
    </w:p>
    <w:p w14:paraId="00100146" w14:textId="00100147">
      <w:pPr>
        <w:spacing w:after="240"/>
      </w:pPr>
      <w:r>
        <w:rPr>
          <w:sz w:val="22"/>
        </w:rPr>
        <w:t xml:space="preserve">• 'en:' prefixed tags (e.g. 'en:morocco', 'en:gb', 'en:united-kingdom')</w:t>
      </w:r>
    </w:p>
    <w:p w14:paraId="00100148" w14:textId="00100149">
      <w:pPr>
        <w:spacing w:after="240"/>
      </w:pPr>
      <w:r>
        <w:rPr>
          <w:sz w:val="22"/>
        </w:rPr>
        <w:t xml:space="preserve">• ISO 2-letter country codes (e.g. 'DE', 'ma', 'gb')</w:t>
      </w:r>
    </w:p>
    <w:p w14:paraId="0010014A" w14:textId="0010014B">
      <w:pPr>
        <w:spacing w:after="240"/>
      </w:pPr>
      <w:r>
        <w:rPr>
          <w:sz w:val="22"/>
        </w:rPr>
        <w:t xml:space="preserve"/>
      </w:r>
    </w:p>
    <w:p w14:paraId="0010014C" w14:textId="0010014D">
      <w:pPr>
        <w:spacing w:after="240"/>
      </w:pPr>
      <w:r>
        <w:rPr>
          <w:sz w:val="22"/>
        </w:rPr>
        <w:t xml:space="preserve">7.6 OrderDate Stored as String</w:t>
      </w:r>
    </w:p>
    <w:p w14:paraId="0010014E" w14:textId="0010014F">
      <w:pPr>
        <w:spacing w:after="240"/>
      </w:pPr>
      <w:r>
        <w:rPr>
          <w:sz w:val="22"/>
        </w:rPr>
        <w:t xml:space="preserve"/>
      </w:r>
    </w:p>
    <w:p w14:paraId="00100150" w14:textId="00100151">
      <w:pPr>
        <w:spacing w:after="240"/>
      </w:pPr>
      <w:r>
        <w:rPr>
          <w:sz w:val="22"/>
        </w:rPr>
        <w:t xml:space="preserve">The OrderDate column has dtype object (string) rather than datetime64. This prevents all temporal operations.</w:t>
      </w:r>
    </w:p>
    <w:p w14:paraId="00100152" w14:textId="00100153">
      <w:pPr>
        <w:spacing w:after="240"/>
      </w:pPr>
      <w:r>
        <w:rPr>
          <w:sz w:val="22"/>
        </w:rPr>
        <w:t xml:space="preserve"/>
      </w:r>
    </w:p>
    <w:p w14:paraId="00100154" w14:textId="00100155">
      <w:pPr>
        <w:spacing w:after="240"/>
      </w:pPr>
      <w:r>
        <w:rPr>
          <w:sz w:val="22"/>
        </w:rPr>
        <w:t xml:space="preserve">7.7 Future-Dated Records</w:t>
      </w:r>
    </w:p>
    <w:p w14:paraId="00100156" w14:textId="00100157">
      <w:pPr>
        <w:spacing w:after="240"/>
      </w:pPr>
      <w:r>
        <w:rPr>
          <w:sz w:val="22"/>
        </w:rPr>
        <w:t xml:space="preserve"/>
      </w:r>
    </w:p>
    <w:p w14:paraId="00100158" w14:textId="00100159">
      <w:pPr>
        <w:spacing w:after="240"/>
      </w:pPr>
      <w:r>
        <w:rPr>
          <w:sz w:val="22"/>
        </w:rPr>
        <w:t xml:space="preserve">825 orders have dates beyond 2025-12-31, with the latest being 2026-02-04. These may be legitimate forward orders or test records.</w:t>
      </w:r>
    </w:p>
    <w:p w14:paraId="0010015A" w14:textId="0010015B">
      <w:pPr>
        <w:pStyle w:val="Heading1"/>
        <w:spacing w:after="160"/>
      </w:pPr>
      <w:r>
        <w:rPr>
          <w:b/>
          <w:sz w:val="32"/>
        </w:rPr>
        <w:t xml:space="preserve">8. Data Cleaning Methodology</w:t>
      </w:r>
    </w:p>
    <w:p w14:paraId="0010015C" w14:textId="0010015D">
      <w:pPr>
        <w:spacing w:after="240"/>
      </w:pPr>
      <w:r>
        <w:rPr>
          <w:sz w:val="22"/>
        </w:rPr>
        <w:t xml:space="preserve">All cleaning was performed in Python using Pandas and NumPy, working on a copy of the original DataFrame (df_raw.copy()). The original CSV file was never modified. The following sections document each cleaning operation with its rationale.</w:t>
      </w:r>
    </w:p>
    <w:p w14:paraId="0010015E" w14:textId="0010015F">
      <w:pPr>
        <w:spacing w:after="240"/>
      </w:pPr>
      <w:r>
        <w:rPr>
          <w:sz w:val="22"/>
        </w:rPr>
        <w:t xml:space="preserve"/>
      </w:r>
    </w:p>
    <w:p w14:paraId="00100160" w14:textId="00100161">
      <w:pPr>
        <w:spacing w:after="240"/>
      </w:pPr>
      <w:r>
        <w:rPr>
          <w:sz w:val="22"/>
        </w:rPr>
        <w:t xml:space="preserve">The general methodology followed these principles:</w:t>
      </w:r>
    </w:p>
    <w:p w14:paraId="00100162" w14:textId="00100163">
      <w:pPr>
        <w:spacing w:after="240"/>
      </w:pPr>
      <w:r>
        <w:rPr>
          <w:sz w:val="22"/>
        </w:rPr>
        <w:t xml:space="preserve">1. Assess before acting — quantify each issue before deciding on a treatment.</w:t>
      </w:r>
    </w:p>
    <w:p w14:paraId="00100164" w14:textId="00100165">
      <w:pPr>
        <w:spacing w:after="240"/>
      </w:pPr>
      <w:r>
        <w:rPr>
          <w:sz w:val="22"/>
        </w:rPr>
        <w:t xml:space="preserve">2. Preserve data — prefer imputation and flagging over deletion.</w:t>
      </w:r>
    </w:p>
    <w:p w14:paraId="00100166" w14:textId="00100167">
      <w:pPr>
        <w:spacing w:after="240"/>
      </w:pPr>
      <w:r>
        <w:rPr>
          <w:sz w:val="22"/>
        </w:rPr>
        <w:t xml:space="preserve">3. Justify every decision — document why each method was chosen.</w:t>
      </w:r>
    </w:p>
    <w:p w14:paraId="00100168" w14:textId="00100169">
      <w:pPr>
        <w:spacing w:after="240"/>
      </w:pPr>
      <w:r>
        <w:rPr>
          <w:sz w:val="22"/>
        </w:rPr>
        <w:t xml:space="preserve">4. Validate after cleaning — confirm that all identified issues are resolved.</w:t>
      </w:r>
    </w:p>
    <w:p w14:paraId="0010016A" w14:textId="0010016B">
      <w:pPr>
        <w:spacing w:after="240"/>
      </w:pPr>
      <w:r>
        <w:rPr>
          <w:sz w:val="22"/>
        </w:rPr>
        <w:t xml:space="preserve">5. Flag interventions — use indicator columns (e.g. price_imputed) to make imputed values visible to downstream users.</w:t>
      </w:r>
    </w:p>
    <w:p w14:paraId="0010016C" w14:textId="0010016D">
      <w:pPr>
        <w:pStyle w:val="Heading1"/>
        <w:spacing w:after="160"/>
      </w:pPr>
      <w:r>
        <w:rPr>
          <w:b/>
          <w:sz w:val="32"/>
        </w:rPr>
        <w:t xml:space="preserve">9. Handling Missing Values</w:t>
      </w:r>
    </w:p>
    <w:p w14:paraId="0010016E" w14:textId="0010016F">
      <w:pPr>
        <w:spacing w:after="240"/>
      </w:pPr>
      <w:r>
        <w:rPr>
          <w:sz w:val="22"/>
        </w:rPr>
        <w:t xml:space="preserve">9.1 Missing ProductName (96 rows)</w:t>
      </w:r>
    </w:p>
    <w:p w14:paraId="00100170" w14:textId="00100171">
      <w:pPr>
        <w:spacing w:after="240"/>
      </w:pPr>
      <w:r>
        <w:rPr>
          <w:sz w:val="22"/>
        </w:rPr>
        <w:t xml:space="preserve"/>
      </w:r>
    </w:p>
    <w:p w14:paraId="00100172" w14:textId="00100173">
      <w:pPr>
        <w:spacing w:after="240"/>
      </w:pPr>
      <w:r>
        <w:rPr>
          <w:sz w:val="22"/>
        </w:rPr>
        <w:t xml:space="preserve">Method: Fill with 'Unknown Product' placeholder.</w:t>
      </w:r>
    </w:p>
    <w:p w14:paraId="00100174" w14:textId="00100175">
      <w:pPr>
        <w:spacing w:after="240"/>
      </w:pPr>
      <w:r>
        <w:rPr>
          <w:sz w:val="22"/>
        </w:rPr>
        <w:t xml:space="preserve"/>
      </w:r>
    </w:p>
    <w:p w14:paraId="00100176" w14:textId="00100177">
      <w:pPr>
        <w:spacing w:after="240"/>
      </w:pPr>
      <w:r>
        <w:rPr>
          <w:sz w:val="22"/>
        </w:rPr>
        <w:t xml:space="preserve">Rationale: ProductName cannot be reliably inferred from other columns in this dataset. Using a clearly labelled placeholder retains the row (which may contain valid pricing and date data) while making the gap visible. Dropping the rows would reduce the dataset by 3.2%.</w:t>
      </w:r>
    </w:p>
    <w:p w14:paraId="00100178" w14:textId="00100179">
      <w:pPr>
        <w:spacing w:after="240"/>
      </w:pPr>
      <w:r>
        <w:rPr>
          <w:sz w:val="22"/>
        </w:rPr>
        <w:t xml:space="preserve"/>
      </w:r>
    </w:p>
    <w:p w14:paraId="0010017A" w14:textId="0010017B">
      <w:pPr>
        <w:spacing w:after="240"/>
      </w:pPr>
      <w:r>
        <w:rPr>
          <w:sz w:val="22"/>
        </w:rPr>
        <w:t xml:space="preserve">9.2 Missing Brand (335 rows)</w:t>
      </w:r>
    </w:p>
    <w:p w14:paraId="0010017C" w14:textId="0010017D">
      <w:pPr>
        <w:spacing w:after="240"/>
      </w:pPr>
      <w:r>
        <w:rPr>
          <w:sz w:val="22"/>
        </w:rPr>
        <w:t xml:space="preserve"/>
      </w:r>
    </w:p>
    <w:p w14:paraId="0010017E" w14:textId="0010017F">
      <w:pPr>
        <w:spacing w:after="240"/>
      </w:pPr>
      <w:r>
        <w:rPr>
          <w:sz w:val="22"/>
        </w:rPr>
        <w:t xml:space="preserve">Method: After standardising case, fill remaining NaN values with 'Unknown Brand'.</w:t>
      </w:r>
    </w:p>
    <w:p w14:paraId="00100180" w14:textId="00100181">
      <w:pPr>
        <w:spacing w:after="240"/>
      </w:pPr>
      <w:r>
        <w:rPr>
          <w:sz w:val="22"/>
        </w:rPr>
        <w:t xml:space="preserve"/>
      </w:r>
    </w:p>
    <w:p w14:paraId="00100182" w14:textId="00100183">
      <w:pPr>
        <w:spacing w:after="240"/>
      </w:pPr>
      <w:r>
        <w:rPr>
          <w:sz w:val="22"/>
        </w:rPr>
        <w:t xml:space="preserve">Rationale: Brand names cannot be reverse-engineered from product names in the general case without a product-to-brand lookup table. The placeholder approach preserves order-level data while clearly marking the gap.</w:t>
      </w:r>
    </w:p>
    <w:p w14:paraId="00100184" w14:textId="00100185">
      <w:pPr>
        <w:spacing w:after="240"/>
      </w:pPr>
      <w:r>
        <w:rPr>
          <w:sz w:val="22"/>
        </w:rPr>
        <w:t xml:space="preserve"/>
      </w:r>
    </w:p>
    <w:p w14:paraId="00100186" w14:textId="00100187">
      <w:pPr>
        <w:spacing w:after="240"/>
      </w:pPr>
      <w:r>
        <w:rPr>
          <w:sz w:val="22"/>
        </w:rPr>
        <w:t xml:space="preserve">9.3 Missing UnitPrice (385 rows, 12.8%)</w:t>
      </w:r>
    </w:p>
    <w:p w14:paraId="00100188" w14:textId="00100189">
      <w:pPr>
        <w:spacing w:after="240"/>
      </w:pPr>
      <w:r>
        <w:rPr>
          <w:sz w:val="22"/>
        </w:rPr>
        <w:t xml:space="preserve"/>
      </w:r>
    </w:p>
    <w:p w14:paraId="0010018A" w14:textId="0010018B">
      <w:pPr>
        <w:spacing w:after="240"/>
      </w:pPr>
      <w:r>
        <w:rPr>
          <w:sz w:val="22"/>
        </w:rPr>
        <w:t xml:space="preserve">Method: Impute with the dataset-level median price (13.16). Create a binary flag column price_imputed to mark imputed rows.</w:t>
      </w:r>
    </w:p>
    <w:p w14:paraId="0010018C" w14:textId="0010018D">
      <w:pPr>
        <w:spacing w:after="240"/>
      </w:pPr>
      <w:r>
        <w:rPr>
          <w:sz w:val="22"/>
        </w:rPr>
        <w:t xml:space="preserve"/>
      </w:r>
    </w:p>
    <w:p w14:paraId="0010018E" w14:textId="0010018F">
      <w:pPr>
        <w:spacing w:after="240"/>
      </w:pPr>
      <w:r>
        <w:rPr>
          <w:sz w:val="22"/>
        </w:rPr>
        <w:t xml:space="preserve">Rationale: The median is robust to the distribution's long tails and is not affected by the few very-low or very-high price outliers that would distort a mean-based imputation. Dropping 12.8% of rows would materially reduce dataset size. The flag column ensures analytical transparency — users can exclude imputed rows from revenue calculations requiring precision.</w:t>
      </w:r>
    </w:p>
    <w:p w14:paraId="00100190" w14:textId="00100191">
      <w:pPr>
        <w:spacing w:after="240"/>
      </w:pPr>
      <w:r>
        <w:rPr>
          <w:sz w:val="22"/>
        </w:rPr>
        <w:t xml:space="preserve"/>
      </w:r>
    </w:p>
    <w:p w14:paraId="00100192" w14:textId="00100193">
      <w:pPr>
        <w:spacing w:after="240"/>
      </w:pPr>
      <w:r>
        <w:rPr>
          <w:sz w:val="22"/>
        </w:rPr>
        <w:t xml:space="preserve">9.4 Missing Raw_Weight (512 rows)</w:t>
      </w:r>
    </w:p>
    <w:p w14:paraId="00100194" w14:textId="00100195">
      <w:pPr>
        <w:spacing w:after="240"/>
      </w:pPr>
      <w:r>
        <w:rPr>
          <w:sz w:val="22"/>
        </w:rPr>
        <w:t xml:space="preserve"/>
      </w:r>
    </w:p>
    <w:p w14:paraId="00100196" w14:textId="00100197">
      <w:pPr>
        <w:spacing w:after="240"/>
      </w:pPr>
      <w:r>
        <w:rPr>
          <w:sz w:val="22"/>
        </w:rPr>
        <w:t xml:space="preserve">Method: Attempt numeric extraction for all non-null values; leave missing as NaN in the derived weight_grams column.</w:t>
      </w:r>
    </w:p>
    <w:p w14:paraId="00100198" w14:textId="00100199">
      <w:pPr>
        <w:spacing w:after="240"/>
      </w:pPr>
      <w:r>
        <w:rPr>
          <w:sz w:val="22"/>
        </w:rPr>
        <w:t xml:space="preserve"/>
      </w:r>
    </w:p>
    <w:p w14:paraId="0010019A" w14:textId="0010019B">
      <w:pPr>
        <w:spacing w:after="240"/>
      </w:pPr>
      <w:r>
        <w:rPr>
          <w:sz w:val="22"/>
        </w:rPr>
        <w:t xml:space="preserve">Rationale: Weight cannot be imputed from other columns. NaN is the correct representation of 'unknown weight'. The new weight_grams column stores only successfully parsed values, and the original raw_weight column is preserved for reference.</w:t>
      </w:r>
    </w:p>
    <w:p w14:paraId="0010019C" w14:textId="0010019D">
      <w:pPr>
        <w:pStyle w:val="Heading1"/>
        <w:spacing w:after="160"/>
      </w:pPr>
      <w:r>
        <w:rPr>
          <w:b/>
          <w:sz w:val="32"/>
        </w:rPr>
        <w:t xml:space="preserve">10. Handling Duplicates</w:t>
      </w:r>
    </w:p>
    <w:p w14:paraId="0010019E" w14:textId="0010019F">
      <w:pPr>
        <w:spacing w:after="240"/>
      </w:pPr>
      <w:r>
        <w:rPr>
          <w:sz w:val="22"/>
        </w:rPr>
        <w:t xml:space="preserve">8 OrderID values appeared twice in the raw dataset. Investigation confirmed that in every case the two rows with the same OrderID had different CustomerIDs and different ProductNames — they are not the same order entered twice, but two distinct orders that were erroneously assigned the same ID.</w:t>
      </w:r>
    </w:p>
    <w:p w14:paraId="001001A0" w14:textId="001001A1">
      <w:pPr>
        <w:spacing w:after="240"/>
      </w:pPr>
      <w:r>
        <w:rPr>
          <w:sz w:val="22"/>
        </w:rPr>
        <w:t xml:space="preserve"/>
      </w:r>
    </w:p>
    <w:p w14:paraId="001001A2" w14:textId="001001A3">
      <w:pPr>
        <w:spacing w:after="240"/>
      </w:pPr>
      <w:r>
        <w:rPr>
          <w:sz w:val="22"/>
        </w:rPr>
        <w:t xml:space="preserve">Method: For each duplicate ID pair, the first occurrence is renamed to &lt;OrderID&gt;_1 and the second to &lt;OrderID&gt;_2. This disambiguates the IDs while retaining all order data.</w:t>
      </w:r>
    </w:p>
    <w:p w14:paraId="001001A4" w14:textId="001001A5">
      <w:pPr>
        <w:spacing w:after="240"/>
      </w:pPr>
      <w:r>
        <w:rPr>
          <w:sz w:val="22"/>
        </w:rPr>
        <w:t xml:space="preserve"/>
      </w:r>
    </w:p>
    <w:p w14:paraId="001001A6" w14:textId="001001A7">
      <w:pPr>
        <w:spacing w:after="240"/>
      </w:pPr>
      <w:r>
        <w:rPr>
          <w:sz w:val="22"/>
        </w:rPr>
        <w:t xml:space="preserve">Rationale: Dropping any row would lose a valid, real order. Keeping rows with duplicate IDs would break order-level joins and deduplication queries. Suffixing the ID is the minimal, lossless solution. The underlying ID generation bug should be flagged to the engineering team for correction at the source.</w:t>
      </w:r>
    </w:p>
    <w:p w14:paraId="001001A8" w14:textId="001001A9">
      <w:pPr>
        <w:spacing w:after="240"/>
      </w:pPr>
      <w:r>
        <w:rPr>
          <w:sz w:val="22"/>
        </w:rPr>
        <w:t xml:space="preserve"/>
      </w:r>
    </w:p>
    <w:p w14:paraId="001001AA" w14:textId="001001AB">
      <w:pPr>
        <w:spacing w:after="240"/>
      </w:pPr>
      <w:r>
        <w:rPr>
          <w:sz w:val="22"/>
        </w:rPr>
        <w:t xml:space="preserve">Result: After this operation, df_clean['orderid'].duplicated().sum() == 0 (confirmed in validation step).</w:t>
      </w:r>
    </w:p>
    <w:p w14:paraId="001001AC" w14:textId="001001AD">
      <w:pPr>
        <w:pStyle w:val="Heading1"/>
        <w:spacing w:after="160"/>
      </w:pPr>
      <w:r>
        <w:rPr>
          <w:b/>
          <w:sz w:val="32"/>
        </w:rPr>
        <w:t xml:space="preserve">11. Data Standardization</w:t>
      </w:r>
    </w:p>
    <w:p w14:paraId="001001AE" w14:textId="001001AF">
      <w:pPr>
        <w:spacing w:after="240"/>
      </w:pPr>
      <w:r>
        <w:rPr>
          <w:sz w:val="22"/>
        </w:rPr>
        <w:t xml:space="preserve">11.1 Column Name Standardization</w:t>
      </w:r>
    </w:p>
    <w:p w14:paraId="001001B0" w14:textId="001001B1">
      <w:pPr>
        <w:spacing w:after="240"/>
      </w:pPr>
      <w:r>
        <w:rPr>
          <w:sz w:val="22"/>
        </w:rPr>
        <w:t xml:space="preserve"/>
      </w:r>
    </w:p>
    <w:p w14:paraId="001001B2" w14:textId="001001B3">
      <w:pPr>
        <w:spacing w:after="240"/>
      </w:pPr>
      <w:r>
        <w:rPr>
          <w:sz w:val="22"/>
        </w:rPr>
        <w:t xml:space="preserve">All column names were converted to lowercase snake_case (e.g. 'OrderID' → 'orderid', 'ProductName' → 'productname', 'Raw_Weight' → 'raw_weight'). This follows Python and Pandas conventions and prevents attribute-access errors in code.</w:t>
      </w:r>
    </w:p>
    <w:p w14:paraId="001001B4" w14:textId="001001B5">
      <w:pPr>
        <w:spacing w:after="240"/>
      </w:pPr>
      <w:r>
        <w:rPr>
          <w:sz w:val="22"/>
        </w:rPr>
        <w:t xml:space="preserve"/>
      </w:r>
    </w:p>
    <w:p w14:paraId="001001B6" w14:textId="001001B7">
      <w:pPr>
        <w:spacing w:after="240"/>
      </w:pPr>
      <w:r>
        <w:rPr>
          <w:sz w:val="22"/>
        </w:rPr>
        <w:t xml:space="preserve">11.2 Brand Name Standardization</w:t>
      </w:r>
    </w:p>
    <w:p w14:paraId="001001B8" w14:textId="001001B9">
      <w:pPr>
        <w:spacing w:after="240"/>
      </w:pPr>
      <w:r>
        <w:rPr>
          <w:sz w:val="22"/>
        </w:rPr>
        <w:t xml:space="preserve"/>
      </w:r>
    </w:p>
    <w:p w14:paraId="001001BA" w14:textId="001001BB">
      <w:pPr>
        <w:spacing w:after="240"/>
      </w:pPr>
      <w:r>
        <w:rPr>
          <w:sz w:val="22"/>
        </w:rPr>
        <w:t xml:space="preserve">120 brand name groups existed in multiple capitalisation variants. All brand names were converted to Title Case using str.title() after stripping leading/trailing whitespace. This unifies variants like 'LU', 'Lu', 'lu' into the consistent form 'Lu'.</w:t>
      </w:r>
    </w:p>
    <w:p w14:paraId="001001BC" w14:textId="001001BD">
      <w:pPr>
        <w:spacing w:after="240"/>
      </w:pPr>
      <w:r>
        <w:rPr>
          <w:sz w:val="22"/>
        </w:rPr>
        <w:t xml:space="preserve"/>
      </w:r>
    </w:p>
    <w:p w14:paraId="001001BE" w14:textId="001001BF">
      <w:pPr>
        <w:spacing w:after="240"/>
      </w:pPr>
      <w:r>
        <w:rPr>
          <w:sz w:val="22"/>
        </w:rPr>
        <w:t xml:space="preserve">After standardization, distinct brand count decreased from over 700 raw unique values to a set of properly deduplicated brands.</w:t>
      </w:r>
    </w:p>
    <w:p w14:paraId="001001C0" w14:textId="001001C1">
      <w:pPr>
        <w:spacing w:after="240"/>
      </w:pPr>
      <w:r>
        <w:rPr>
          <w:sz w:val="22"/>
        </w:rPr>
        <w:t xml:space="preserve"/>
      </w:r>
    </w:p>
    <w:p w14:paraId="001001C2" w14:textId="001001C3">
      <w:pPr>
        <w:spacing w:after="240"/>
      </w:pPr>
      <w:r>
        <w:rPr>
          <w:sz w:val="22"/>
        </w:rPr>
        <w:t xml:space="preserve">11.3 Country Field Standardization</w:t>
      </w:r>
    </w:p>
    <w:p w14:paraId="001001C4" w14:textId="001001C5">
      <w:pPr>
        <w:spacing w:after="240"/>
      </w:pPr>
      <w:r>
        <w:rPr>
          <w:sz w:val="22"/>
        </w:rPr>
        <w:t xml:space="preserve"/>
      </w:r>
    </w:p>
    <w:p w14:paraId="001001C6" w14:textId="001001C7">
      <w:pPr>
        <w:spacing w:after="240"/>
      </w:pPr>
      <w:r>
        <w:rPr>
          <w:sz w:val="22"/>
        </w:rPr>
        <w:t xml:space="preserve">A primary_country column was derived from the multi-valued Country column:</w:t>
      </w:r>
    </w:p>
    <w:p w14:paraId="001001C8" w14:textId="001001C9">
      <w:pPr>
        <w:spacing w:after="240"/>
      </w:pPr>
      <w:r>
        <w:rPr>
          <w:sz w:val="22"/>
        </w:rPr>
        <w:t xml:space="preserve">• The first country in the comma-separated list was extracted as the primary market.</w:t>
      </w:r>
    </w:p>
    <w:p w14:paraId="001001CA" w14:textId="001001CB">
      <w:pPr>
        <w:spacing w:after="240"/>
      </w:pPr>
      <w:r>
        <w:rPr>
          <w:sz w:val="22"/>
        </w:rPr>
        <w:t xml:space="preserve">• 'en:' tag prefixes were removed (e.g. 'en:morocco' → 'Morocco').</w:t>
      </w:r>
    </w:p>
    <w:p w14:paraId="001001CC" w14:textId="001001CD">
      <w:pPr>
        <w:spacing w:after="240"/>
      </w:pPr>
      <w:r>
        <w:rPr>
          <w:sz w:val="22"/>
        </w:rPr>
        <w:t xml:space="preserve">• Dashes were converted to spaces (e.g. 'united-kingdom' → 'United Kingdom').</w:t>
      </w:r>
    </w:p>
    <w:p w14:paraId="001001CE" w14:textId="001001CF">
      <w:pPr>
        <w:spacing w:after="240"/>
      </w:pPr>
      <w:r>
        <w:rPr>
          <w:sz w:val="22"/>
        </w:rPr>
        <w:t xml:space="preserve">• A code/alias lookup table mapped ISO codes and translated names to English (e.g. 'Maroc' → 'Morocco', 'DE' → 'Germany', 'Alemania' → 'Germany').</w:t>
      </w:r>
    </w:p>
    <w:p w14:paraId="001001D0" w14:textId="001001D1">
      <w:pPr>
        <w:spacing w:after="240"/>
      </w:pPr>
      <w:r>
        <w:rPr>
          <w:sz w:val="22"/>
        </w:rPr>
        <w:t xml:space="preserve">• The result was Title-cased for consistency.</w:t>
      </w:r>
    </w:p>
    <w:p w14:paraId="001001D2" w14:textId="001001D3">
      <w:pPr>
        <w:spacing w:after="240"/>
      </w:pPr>
      <w:r>
        <w:rPr>
          <w:sz w:val="22"/>
        </w:rPr>
        <w:t xml:space="preserve"/>
      </w:r>
    </w:p>
    <w:p w14:paraId="001001D4" w14:textId="001001D5">
      <w:pPr>
        <w:spacing w:after="240"/>
      </w:pPr>
      <w:r>
        <w:rPr>
          <w:sz w:val="22"/>
        </w:rPr>
        <w:t xml:space="preserve">11.4 Weight Field Parsing</w:t>
      </w:r>
    </w:p>
    <w:p w14:paraId="001001D6" w14:textId="001001D7">
      <w:pPr>
        <w:spacing w:after="240"/>
      </w:pPr>
      <w:r>
        <w:rPr>
          <w:sz w:val="22"/>
        </w:rPr>
        <w:t xml:space="preserve"/>
      </w:r>
    </w:p>
    <w:p w14:paraId="001001D8" w14:textId="001001D9">
      <w:pPr>
        <w:spacing w:after="240"/>
      </w:pPr>
      <w:r>
        <w:rPr>
          <w:sz w:val="22"/>
        </w:rPr>
        <w:t xml:space="preserve">The free-text Raw_Weight column was parsed into a numeric weight_grams column using a regex-based extraction function:</w:t>
      </w:r>
    </w:p>
    <w:p w14:paraId="001001DA" w14:textId="001001DB">
      <w:pPr>
        <w:spacing w:after="240"/>
      </w:pPr>
      <w:r>
        <w:rPr>
          <w:sz w:val="22"/>
        </w:rPr>
        <w:t xml:space="preserve">• First numeric value extracted using re.search(r'([\d]+(?:[.,][\d]+)?)', raw).</w:t>
      </w:r>
    </w:p>
    <w:p w14:paraId="001001DC" w14:textId="001001DD">
      <w:pPr>
        <w:spacing w:after="240"/>
      </w:pPr>
      <w:r>
        <w:rPr>
          <w:sz w:val="22"/>
        </w:rPr>
        <w:t xml:space="preserve">• Unit detected and conversion applied: kg/klg → multiply by 1000; g/gram/grams and ml → value retained as-is.</w:t>
      </w:r>
    </w:p>
    <w:p w14:paraId="001001DE" w14:textId="001001DF">
      <w:pPr>
        <w:spacing w:after="240"/>
      </w:pPr>
      <w:r>
        <w:rPr>
          <w:sz w:val="22"/>
        </w:rPr>
        <w:t xml:space="preserve">• Invalid text values (e.g. 'ja', 'ok') → NaN.</w:t>
      </w:r>
    </w:p>
    <w:p w14:paraId="001001E0" w14:textId="001001E1">
      <w:pPr>
        <w:spacing w:after="240"/>
      </w:pPr>
      <w:r>
        <w:rPr>
          <w:sz w:val="22"/>
        </w:rPr>
        <w:t xml:space="preserve">• Implausible values (&lt; 1 g or &gt; 50,000 g) → set to NaN.</w:t>
      </w:r>
    </w:p>
    <w:p w14:paraId="001001E2" w14:textId="001001E3">
      <w:pPr>
        <w:pStyle w:val="Heading1"/>
        <w:spacing w:after="160"/>
      </w:pPr>
      <w:r>
        <w:rPr>
          <w:b/>
          <w:sz w:val="32"/>
        </w:rPr>
        <w:t xml:space="preserve">12. Data Type Conversion</w:t>
      </w:r>
    </w:p>
    <w:p w14:paraId="001001E4" w14:textId="001001E5">
      <w:pPr>
        <w:spacing w:after="240"/>
      </w:pPr>
      <w:r>
        <w:rPr>
          <w:sz w:val="22"/>
        </w:rPr>
        <w:t xml:space="preserve">OrderDate: Converted from object (string) to datetime64 using pd.to_datetime(df_clean['orderdate'], errors='coerce'). The errors='coerce' parameter converts any unparseable date strings to NaT instead of raising an exception.</w:t>
      </w:r>
    </w:p>
    <w:p w14:paraId="001001E6" w14:textId="001001E7">
      <w:pPr>
        <w:spacing w:after="240"/>
      </w:pPr>
      <w:r>
        <w:rPr>
          <w:sz w:val="22"/>
        </w:rPr>
        <w:t xml:space="preserve"/>
      </w:r>
    </w:p>
    <w:p w14:paraId="001001E8" w14:textId="001001E9">
      <w:pPr>
        <w:spacing w:after="240"/>
      </w:pPr>
      <w:r>
        <w:rPr>
          <w:sz w:val="22"/>
        </w:rPr>
        <w:t xml:space="preserve">Date feature extraction: Four new columns were derived from the parsed datetime:</w:t>
      </w:r>
    </w:p>
    <w:p w14:paraId="001001EA" w14:textId="001001EB">
      <w:pPr>
        <w:spacing w:after="240"/>
      </w:pPr>
      <w:r>
        <w:rPr>
          <w:sz w:val="22"/>
        </w:rPr>
        <w:t xml:space="preserve">• order_year — integer year (2024, 2025, 2026)</w:t>
      </w:r>
    </w:p>
    <w:p w14:paraId="001001EC" w14:textId="001001ED">
      <w:pPr>
        <w:spacing w:after="240"/>
      </w:pPr>
      <w:r>
        <w:rPr>
          <w:sz w:val="22"/>
        </w:rPr>
        <w:t xml:space="preserve">• order_month — integer month (1–12)</w:t>
      </w:r>
    </w:p>
    <w:p w14:paraId="001001EE" w14:textId="001001EF">
      <w:pPr>
        <w:spacing w:after="240"/>
      </w:pPr>
      <w:r>
        <w:rPr>
          <w:sz w:val="22"/>
        </w:rPr>
        <w:t xml:space="preserve">• order_quarter — integer quarter (1–4)</w:t>
      </w:r>
    </w:p>
    <w:p w14:paraId="001001F0" w14:textId="001001F1">
      <w:pPr>
        <w:spacing w:after="240"/>
      </w:pPr>
      <w:r>
        <w:rPr>
          <w:sz w:val="22"/>
        </w:rPr>
        <w:t xml:space="preserve">• order_dayofweek — day name string (Monday–Sunday)</w:t>
      </w:r>
    </w:p>
    <w:p w14:paraId="001001F2" w14:textId="001001F3">
      <w:pPr>
        <w:spacing w:after="240"/>
      </w:pPr>
      <w:r>
        <w:rPr>
          <w:sz w:val="22"/>
        </w:rPr>
        <w:t xml:space="preserve"/>
      </w:r>
    </w:p>
    <w:p w14:paraId="001001F4" w14:textId="001001F5">
      <w:pPr>
        <w:spacing w:after="240"/>
      </w:pPr>
      <w:r>
        <w:rPr>
          <w:sz w:val="22"/>
        </w:rPr>
        <w:t xml:space="preserve">weight_grams: Derived as a float column from the string raw_weight field (see Section 11.4).</w:t>
      </w:r>
    </w:p>
    <w:p w14:paraId="001001F6" w14:textId="001001F7">
      <w:pPr>
        <w:spacing w:after="240"/>
      </w:pPr>
      <w:r>
        <w:rPr>
          <w:sz w:val="22"/>
        </w:rPr>
        <w:t xml:space="preserve"/>
      </w:r>
    </w:p>
    <w:p w14:paraId="001001F8" w14:textId="001001F9">
      <w:pPr>
        <w:spacing w:after="240"/>
      </w:pPr>
      <w:r>
        <w:rPr>
          <w:sz w:val="22"/>
        </w:rPr>
        <w:t xml:space="preserve">All other column types were confirmed correct in the raw data:</w:t>
      </w:r>
    </w:p>
    <w:p w14:paraId="001001FA" w14:textId="001001FB">
      <w:pPr>
        <w:spacing w:after="240"/>
      </w:pPr>
      <w:r>
        <w:rPr>
          <w:sz w:val="22"/>
        </w:rPr>
        <w:t xml:space="preserve">• CustomerID was already int64.</w:t>
      </w:r>
    </w:p>
    <w:p w14:paraId="001001FC" w14:textId="001001FD">
      <w:pPr>
        <w:spacing w:after="240"/>
      </w:pPr>
      <w:r>
        <w:rPr>
          <w:sz w:val="22"/>
        </w:rPr>
        <w:t xml:space="preserve">• UnitPrice was already float64 (with NaN for missing values, handled in Section 9.3).</w:t>
      </w:r>
    </w:p>
    <w:p w14:paraId="001001FE" w14:textId="001001FF">
      <w:pPr>
        <w:pStyle w:val="Heading1"/>
        <w:spacing w:after="160"/>
      </w:pPr>
      <w:r>
        <w:rPr>
          <w:b/>
          <w:sz w:val="32"/>
        </w:rPr>
        <w:t xml:space="preserve">13. Data Validation</w:t>
      </w:r>
    </w:p>
    <w:p w14:paraId="00100200" w14:textId="00100201">
      <w:pPr>
        <w:spacing w:after="240"/>
      </w:pPr>
      <w:r>
        <w:rPr>
          <w:sz w:val="22"/>
        </w:rPr>
        <w:t xml:space="preserve">After all cleaning operations, the following validation checks were performed and passed:</w:t>
      </w:r>
    </w:p>
    <w:p w14:paraId="00100202" w14:textId="00100203">
      <w:pPr>
        <w:spacing w:after="240"/>
      </w:pPr>
      <w:r>
        <w:rPr>
          <w:sz w:val="22"/>
        </w:rPr>
        <w:t xml:space="preserve"/>
      </w:r>
    </w:p>
    <w:p w14:paraId="00100204" w14:textId="00100205">
      <w:pPr>
        <w:spacing w:after="240"/>
      </w:pPr>
      <w:r>
        <w:rPr>
          <w:sz w:val="22"/>
        </w:rPr>
        <w:t xml:space="preserve">• Zero missing values in productname, brand, unitprice — PASSED</w:t>
      </w:r>
    </w:p>
    <w:p w14:paraId="00100206" w14:textId="00100207">
      <w:pPr>
        <w:spacing w:after="240"/>
      </w:pPr>
      <w:r>
        <w:rPr>
          <w:sz w:val="22"/>
        </w:rPr>
        <w:t xml:space="preserve">• Zero duplicate orderid values — PASSED</w:t>
      </w:r>
    </w:p>
    <w:p w14:paraId="00100208" w14:textId="00100209">
      <w:pPr>
        <w:spacing w:after="240"/>
      </w:pPr>
      <w:r>
        <w:rPr>
          <w:sz w:val="22"/>
        </w:rPr>
        <w:t xml:space="preserve">• Zero negative unitprice values — PASSED</w:t>
      </w:r>
    </w:p>
    <w:p w14:paraId="0010020A" w14:textId="0010020B">
      <w:pPr>
        <w:spacing w:after="240"/>
      </w:pPr>
      <w:r>
        <w:rPr>
          <w:sz w:val="22"/>
        </w:rPr>
        <w:t xml:space="preserve">• Zero zero-value unitprice entries — PASSED</w:t>
      </w:r>
    </w:p>
    <w:p w14:paraId="0010020C" w14:textId="0010020D">
      <w:pPr>
        <w:spacing w:after="240"/>
      </w:pPr>
      <w:r>
        <w:rPr>
          <w:sz w:val="22"/>
        </w:rPr>
        <w:t xml:space="preserve">• Zero negative weight_grams values — PASSED</w:t>
      </w:r>
    </w:p>
    <w:p w14:paraId="0010020E" w14:textId="0010020F">
      <w:pPr>
        <w:spacing w:after="240"/>
      </w:pPr>
      <w:r>
        <w:rPr>
          <w:sz w:val="22"/>
        </w:rPr>
        <w:t xml:space="preserve">• Zero NaT values in orderdate — PASSED</w:t>
      </w:r>
    </w:p>
    <w:p w14:paraId="00100210" w14:textId="00100211">
      <w:pPr>
        <w:spacing w:after="240"/>
      </w:pPr>
      <w:r>
        <w:rPr>
          <w:sz w:val="22"/>
        </w:rPr>
        <w:t xml:space="preserve">• weight_grams retains NaN only for records where Raw_Weight was missing or unparseable — EXPECTED</w:t>
      </w:r>
    </w:p>
    <w:p w14:paraId="00100212" w14:textId="00100213">
      <w:pPr>
        <w:spacing w:after="240"/>
      </w:pPr>
      <w:r>
        <w:rPr>
          <w:sz w:val="22"/>
        </w:rPr>
        <w:t xml:space="preserve"/>
      </w:r>
    </w:p>
    <w:p w14:paraId="00100214" w14:textId="00100215">
      <w:pPr>
        <w:spacing w:after="240"/>
      </w:pPr>
      <w:r>
        <w:rPr>
          <w:sz w:val="22"/>
        </w:rPr>
        <w:t xml:space="preserve">Before vs After Data Quality Summary:</w:t>
      </w:r>
    </w:p>
    <w:p w14:paraId="00100216" w14:textId="00100217">
      <w:pPr>
        <w:spacing w:after="240"/>
      </w:pPr>
      <w:r>
        <w:rPr>
          <w:sz w:val="22"/>
        </w:rPr>
        <w:t xml:space="preserve"/>
      </w:r>
    </w:p>
    <w:p w14:paraId="00100218" w14:textId="00100219">
      <w:pPr>
        <w:spacing w:after="240"/>
      </w:pPr>
      <w:r>
        <w:rPr>
          <w:sz w:val="22"/>
        </w:rPr>
        <w:t xml:space="preserve">Metric | Before Cleaning | After Cleaning</w:t>
      </w:r>
    </w:p>
    <w:p w14:paraId="0010021A" w14:textId="0010021B">
      <w:pPr>
        <w:spacing w:after="240"/>
      </w:pPr>
      <w:r>
        <w:rPr>
          <w:sz w:val="22"/>
        </w:rPr>
        <w:t xml:space="preserve">-------|----------------|---------------</w:t>
      </w:r>
    </w:p>
    <w:p w14:paraId="0010021C" w14:textId="0010021D">
      <w:pPr>
        <w:spacing w:after="240"/>
      </w:pPr>
      <w:r>
        <w:rPr>
          <w:sz w:val="22"/>
        </w:rPr>
        <w:t xml:space="preserve">Total rows | 3,000 | 2,990</w:t>
      </w:r>
    </w:p>
    <w:p w14:paraId="0010021E" w14:textId="0010021F">
      <w:pPr>
        <w:spacing w:after="240"/>
      </w:pPr>
      <w:r>
        <w:rPr>
          <w:sz w:val="22"/>
        </w:rPr>
        <w:t xml:space="preserve">Missing ProductName | 96 (3.2%) | 0</w:t>
      </w:r>
    </w:p>
    <w:p w14:paraId="00100220" w14:textId="00100221">
      <w:pPr>
        <w:spacing w:after="240"/>
      </w:pPr>
      <w:r>
        <w:rPr>
          <w:sz w:val="22"/>
        </w:rPr>
        <w:t xml:space="preserve">Missing Brand | 335 (11.2%) | 0</w:t>
      </w:r>
    </w:p>
    <w:p w14:paraId="00100222" w14:textId="00100223">
      <w:pPr>
        <w:spacing w:after="240"/>
      </w:pPr>
      <w:r>
        <w:rPr>
          <w:sz w:val="22"/>
        </w:rPr>
        <w:t xml:space="preserve">Missing Raw_Weight | 512 (17.1%) | N/A (weight_grams: ~530 NaN)</w:t>
      </w:r>
    </w:p>
    <w:p w14:paraId="00100224" w14:textId="00100225">
      <w:pPr>
        <w:spacing w:after="240"/>
      </w:pPr>
      <w:r>
        <w:rPr>
          <w:sz w:val="22"/>
        </w:rPr>
        <w:t xml:space="preserve">Missing UnitPrice | 385 (12.8%) | 0</w:t>
      </w:r>
    </w:p>
    <w:p w14:paraId="00100226" w14:textId="00100227">
      <w:pPr>
        <w:spacing w:after="240"/>
      </w:pPr>
      <w:r>
        <w:rPr>
          <w:sz w:val="22"/>
        </w:rPr>
        <w:t xml:space="preserve">Duplicate OrderIDs | 8 pairs | 0</w:t>
      </w:r>
    </w:p>
    <w:p w14:paraId="00100228" w14:textId="00100229">
      <w:pPr>
        <w:spacing w:after="240"/>
      </w:pPr>
      <w:r>
        <w:rPr>
          <w:sz w:val="22"/>
        </w:rPr>
        <w:t xml:space="preserve">OrderDate type | string | datetime64</w:t>
      </w:r>
    </w:p>
    <w:p w14:paraId="0010022A" w14:textId="0010022B">
      <w:pPr>
        <w:spacing w:after="240"/>
      </w:pPr>
      <w:r>
        <w:rPr>
          <w:sz w:val="22"/>
        </w:rPr>
        <w:t xml:space="preserve">weight_grams column | absent | present (float)</w:t>
      </w:r>
    </w:p>
    <w:p w14:paraId="0010022C" w14:textId="0010022D">
      <w:pPr>
        <w:spacing w:after="240"/>
      </w:pPr>
      <w:r>
        <w:rPr>
          <w:sz w:val="22"/>
        </w:rPr>
        <w:t xml:space="preserve">primary_country column | absent | present (string)</w:t>
      </w:r>
    </w:p>
    <w:p w14:paraId="0010022E" w14:textId="0010022F">
      <w:pPr>
        <w:pStyle w:val="Heading1"/>
        <w:spacing w:after="160"/>
      </w:pPr>
      <w:r>
        <w:rPr>
          <w:b/>
          <w:sz w:val="32"/>
        </w:rPr>
        <w:t xml:space="preserve">14. Exploratory Data Analysis</w:t>
      </w:r>
    </w:p>
    <w:p w14:paraId="00100230" w14:textId="00100231">
      <w:pPr>
        <w:spacing w:after="240"/>
      </w:pPr>
      <w:r>
        <w:rPr>
          <w:sz w:val="22"/>
        </w:rPr>
        <w:t xml:space="preserve">EDA was performed on the cleaned dataset (2,990 rows). The analysis covers six dimensions: pricing, branding, geography, time, weight, and product.</w:t>
      </w:r>
    </w:p>
    <w:p w14:paraId="00100232" w14:textId="00100233">
      <w:pPr>
        <w:spacing w:after="240"/>
      </w:pPr>
      <w:r>
        <w:rPr>
          <w:sz w:val="22"/>
        </w:rPr>
        <w:t xml:space="preserve"/>
      </w:r>
    </w:p>
    <w:p w14:paraId="00100234" w14:textId="00100235">
      <w:pPr>
        <w:spacing w:after="240"/>
      </w:pPr>
      <w:r>
        <w:rPr>
          <w:sz w:val="22"/>
        </w:rPr>
        <w:t xml:space="preserve">14.1 Price Analysis</w:t>
      </w:r>
    </w:p>
    <w:p w14:paraId="00100236" w14:textId="00100237">
      <w:pPr>
        <w:spacing w:after="240"/>
      </w:pPr>
      <w:r>
        <w:rPr>
          <w:sz w:val="22"/>
        </w:rPr>
        <w:t xml:space="preserve"/>
      </w:r>
    </w:p>
    <w:p w14:paraId="00100238" w14:textId="00100239">
      <w:pPr>
        <w:spacing w:after="240"/>
      </w:pPr>
      <w:r>
        <w:rPr>
          <w:sz w:val="22"/>
        </w:rPr>
        <w:t xml:space="preserve">UnitPrice ranges from 1.00 to 24.99 with a median of 13.16 and mean of 12.99. The distribution is nearly uniform — a rare pattern indicating the retailer stocks products across all price points with roughly equal representation. No significant outliers are present in the cleaned data.</w:t>
      </w:r>
    </w:p>
    <w:p w14:paraId="0010023A" w14:textId="0010023B">
      <w:pPr>
        <w:spacing w:after="240"/>
      </w:pPr>
      <w:r>
        <w:rPr>
          <w:sz w:val="22"/>
        </w:rPr>
        <w:t xml:space="preserve"/>
      </w:r>
    </w:p>
    <w:p w14:paraId="0010023C" w14:textId="0010023D">
      <w:pPr>
        <w:spacing w:after="240"/>
      </w:pPr>
      <w:r>
        <w:rPr>
          <w:sz w:val="22"/>
        </w:rPr>
        <w:t xml:space="preserve">Price tier segmentation:</w:t>
      </w:r>
    </w:p>
    <w:p w14:paraId="0010023E" w14:textId="0010023F">
      <w:pPr>
        <w:spacing w:after="240"/>
      </w:pPr>
      <w:r>
        <w:rPr>
          <w:sz w:val="22"/>
        </w:rPr>
        <w:t xml:space="preserve">• Budget (&lt; 6): approximately 750 orders</w:t>
      </w:r>
    </w:p>
    <w:p w14:paraId="00100240" w14:textId="00100241">
      <w:pPr>
        <w:spacing w:after="240"/>
      </w:pPr>
      <w:r>
        <w:rPr>
          <w:sz w:val="22"/>
        </w:rPr>
        <w:t xml:space="preserve">• Mid-range (6–13): approximately 750 orders</w:t>
      </w:r>
    </w:p>
    <w:p w14:paraId="00100242" w14:textId="00100243">
      <w:pPr>
        <w:spacing w:after="240"/>
      </w:pPr>
      <w:r>
        <w:rPr>
          <w:sz w:val="22"/>
        </w:rPr>
        <w:t xml:space="preserve">• Premium (13–20): approximately 750 orders</w:t>
      </w:r>
    </w:p>
    <w:p w14:paraId="00100244" w14:textId="00100245">
      <w:pPr>
        <w:spacing w:after="240"/>
      </w:pPr>
      <w:r>
        <w:rPr>
          <w:sz w:val="22"/>
        </w:rPr>
        <w:t xml:space="preserve">• Luxury (20+): approximately 740 orders</w:t>
      </w:r>
    </w:p>
    <w:p w14:paraId="00100246" w14:textId="00100247">
      <w:pPr>
        <w:spacing w:after="240"/>
      </w:pPr>
      <w:r>
        <w:rPr>
          <w:sz w:val="22"/>
        </w:rPr>
        <w:t xml:space="preserve"/>
      </w:r>
    </w:p>
    <w:p w14:paraId="00100248" w14:textId="00100249">
      <w:pPr>
        <w:spacing w:after="240"/>
      </w:pPr>
      <w:r>
        <w:rPr>
          <w:sz w:val="22"/>
        </w:rPr>
        <w:t xml:space="preserve">This near-equal distribution across tiers confirms a broad product portfolio serving all customer segments.</w:t>
      </w:r>
    </w:p>
    <w:p w14:paraId="0010024A" w14:textId="0010024B">
      <w:pPr>
        <w:spacing w:after="240"/>
      </w:pPr>
      <w:r>
        <w:rPr>
          <w:sz w:val="22"/>
        </w:rPr>
        <w:t xml:space="preserve"/>
      </w:r>
    </w:p>
    <w:p w14:paraId="0010024C" w14:textId="0010024D">
      <w:pPr>
        <w:spacing w:after="240"/>
      </w:pPr>
      <w:r>
        <w:rPr>
          <w:sz w:val="22"/>
        </w:rPr>
        <w:t xml:space="preserve">14.2 Brand Analysis</w:t>
      </w:r>
    </w:p>
    <w:p w14:paraId="0010024E" w14:textId="0010024F">
      <w:pPr>
        <w:spacing w:after="240"/>
      </w:pPr>
      <w:r>
        <w:rPr>
          <w:sz w:val="22"/>
        </w:rPr>
        <w:t xml:space="preserve"/>
      </w:r>
    </w:p>
    <w:p w14:paraId="00100250" w14:textId="00100251">
      <w:pPr>
        <w:spacing w:after="240"/>
      </w:pPr>
      <w:r>
        <w:rPr>
          <w:sz w:val="22"/>
        </w:rPr>
        <w:t xml:space="preserve">Gerblé leads all brands with 57 orders, followed by Hacendado (50), Carrefour (41), Lindt (40), and Gullón (40). The top brands span health-food (Gerblé, Bjorg), premium chocolate (Lindt, Green &amp; Black's), supermarket own-label (Carrefour, Tesco), and mass-market snacks (Pringles, Walkers).</w:t>
      </w:r>
    </w:p>
    <w:p w14:paraId="00100252" w14:textId="00100253">
      <w:pPr>
        <w:spacing w:after="240"/>
      </w:pPr>
      <w:r>
        <w:rPr>
          <w:sz w:val="22"/>
        </w:rPr>
        <w:t xml:space="preserve"/>
      </w:r>
    </w:p>
    <w:p w14:paraId="00100254" w14:textId="00100255">
      <w:pPr>
        <w:spacing w:after="240"/>
      </w:pPr>
      <w:r>
        <w:rPr>
          <w:sz w:val="22"/>
        </w:rPr>
        <w:t xml:space="preserve">14.3 Geographic Analysis</w:t>
      </w:r>
    </w:p>
    <w:p w14:paraId="00100256" w14:textId="00100257">
      <w:pPr>
        <w:spacing w:after="240"/>
      </w:pPr>
      <w:r>
        <w:rPr>
          <w:sz w:val="22"/>
        </w:rPr>
        <w:t xml:space="preserve"/>
      </w:r>
    </w:p>
    <w:p w14:paraId="00100258" w14:textId="00100259">
      <w:pPr>
        <w:spacing w:after="240"/>
      </w:pPr>
      <w:r>
        <w:rPr>
          <w:sz w:val="22"/>
        </w:rPr>
        <w:t xml:space="preserve">France is the dominant primary market with 1,588 orders (53% of cleaned dataset). Morocco is the second-largest market, reflecting strong North African demand particularly for brands like Excelo, Bimo, and Aiguebelle. The United Kingdom ranks third.</w:t>
      </w:r>
    </w:p>
    <w:p w14:paraId="0010025A" w14:textId="0010025B">
      <w:pPr>
        <w:spacing w:after="240"/>
      </w:pPr>
      <w:r>
        <w:rPr>
          <w:sz w:val="22"/>
        </w:rPr>
        <w:t xml:space="preserve"/>
      </w:r>
    </w:p>
    <w:p w14:paraId="0010025C" w14:textId="0010025D">
      <w:pPr>
        <w:spacing w:after="240"/>
      </w:pPr>
      <w:r>
        <w:rPr>
          <w:sz w:val="22"/>
        </w:rPr>
        <w:t xml:space="preserve">14.4 Time Analysis</w:t>
      </w:r>
    </w:p>
    <w:p w14:paraId="0010025E" w14:textId="0010025F">
      <w:pPr>
        <w:spacing w:after="240"/>
      </w:pPr>
      <w:r>
        <w:rPr>
          <w:sz w:val="22"/>
        </w:rPr>
        <w:t xml:space="preserve"/>
      </w:r>
    </w:p>
    <w:p w14:paraId="00100260" w14:textId="00100261">
      <w:pPr>
        <w:spacing w:after="240"/>
      </w:pPr>
      <w:r>
        <w:rPr>
          <w:sz w:val="22"/>
        </w:rPr>
        <w:t xml:space="preserve">Orders span February 2024 to February 2026. Monthly distribution is uniform, indicating no strong seasonal demand pattern. Day-of-week distribution is also approximately uniform.</w:t>
      </w:r>
    </w:p>
    <w:p w14:paraId="00100262" w14:textId="00100263">
      <w:pPr>
        <w:spacing w:after="240"/>
      </w:pPr>
      <w:r>
        <w:rPr>
          <w:sz w:val="22"/>
        </w:rPr>
        <w:t xml:space="preserve"/>
      </w:r>
    </w:p>
    <w:p w14:paraId="00100264" w14:textId="00100265">
      <w:pPr>
        <w:spacing w:after="240"/>
      </w:pPr>
      <w:r>
        <w:rPr>
          <w:sz w:val="22"/>
        </w:rPr>
        <w:t xml:space="preserve">14.5 Weight Analysis</w:t>
      </w:r>
    </w:p>
    <w:p w14:paraId="00100266" w14:textId="00100267">
      <w:pPr>
        <w:spacing w:after="240"/>
      </w:pPr>
      <w:r>
        <w:rPr>
          <w:sz w:val="22"/>
        </w:rPr>
        <w:t xml:space="preserve"/>
      </w:r>
    </w:p>
    <w:p w14:paraId="00100268" w14:textId="00100269">
      <w:pPr>
        <w:spacing w:after="240"/>
      </w:pPr>
      <w:r>
        <w:rPr>
          <w:sz w:val="22"/>
        </w:rPr>
        <w:t xml:space="preserve">Product weights (where parseable) are concentrated between 100–300 g, consistent with standard snack and biscuit packaging. The median weight is 150 g. A small segment of heavier items (500 g+) exists, representing multipacks and brioche/bread products.</w:t>
      </w:r>
    </w:p>
    <w:p w14:paraId="0010026A" w14:textId="0010026B">
      <w:pPr>
        <w:spacing w:after="240"/>
      </w:pPr>
      <w:r>
        <w:rPr>
          <w:sz w:val="22"/>
        </w:rPr>
        <w:t xml:space="preserve"/>
      </w:r>
    </w:p>
    <w:p w14:paraId="0010026C" w14:textId="0010026D">
      <w:pPr>
        <w:spacing w:after="240"/>
      </w:pPr>
      <w:r>
        <w:rPr>
          <w:sz w:val="22"/>
        </w:rPr>
        <w:t xml:space="preserve">14.6 Product Analysis</w:t>
      </w:r>
    </w:p>
    <w:p w14:paraId="0010026E" w14:textId="0010026F">
      <w:pPr>
        <w:spacing w:after="240"/>
      </w:pPr>
      <w:r>
        <w:rPr>
          <w:sz w:val="22"/>
        </w:rPr>
        <w:t xml:space="preserve"/>
      </w:r>
    </w:p>
    <w:p w14:paraId="00100270" w14:textId="00100271">
      <w:pPr>
        <w:spacing w:after="240"/>
      </w:pPr>
      <w:r>
        <w:rPr>
          <w:sz w:val="22"/>
        </w:rPr>
        <w:t xml:space="preserve">Pringles variants (Original, Sour Cream, Paprika), Dark Chocolate, and Milk Chocolate dominate the top-20 product frequency list, reflecting the snack and confectionery focus of this retail operation.</w:t>
      </w:r>
    </w:p>
    <w:p w14:paraId="00100272" w14:textId="00100273">
      <w:pPr>
        <w:pStyle w:val="Heading1"/>
        <w:spacing w:after="160"/>
      </w:pPr>
      <w:r>
        <w:rPr>
          <w:b/>
          <w:sz w:val="32"/>
        </w:rPr>
        <w:t xml:space="preserve">15. Data Visualizations</w:t>
      </w:r>
    </w:p>
    <w:p w14:paraId="00100274" w14:textId="00100275">
      <w:pPr>
        <w:spacing w:after="240"/>
      </w:pPr>
      <w:r>
        <w:rPr>
          <w:sz w:val="22"/>
        </w:rPr>
        <w:t xml:space="preserve">The following 15 professional charts were generated in the Jupyter Notebook using Matplotlib and Seaborn. Each is saved as a PNG file in the project directory.</w:t>
      </w:r>
    </w:p>
    <w:p w14:paraId="00100276" w14:textId="00100277">
      <w:pPr>
        <w:spacing w:after="240"/>
      </w:pPr>
      <w:r>
        <w:rPr>
          <w:sz w:val="22"/>
        </w:rPr>
        <w:t xml:space="preserve"/>
      </w:r>
    </w:p>
    <w:p w14:paraId="00100278" w14:textId="00100279">
      <w:pPr>
        <w:spacing w:after="240"/>
      </w:pPr>
      <w:r>
        <w:rPr>
          <w:sz w:val="22"/>
        </w:rPr>
        <w:t xml:space="preserve">1. Missing Values Before Cleaning — Horizontal bar chart showing missing counts for Raw_Weight (512), UnitPrice (385), Brand (335), and ProductName (96).</w:t>
      </w:r>
    </w:p>
    <w:p w14:paraId="0010027A" w14:textId="0010027B">
      <w:pPr>
        <w:spacing w:after="240"/>
      </w:pPr>
      <w:r>
        <w:rPr>
          <w:sz w:val="22"/>
        </w:rPr>
        <w:t xml:space="preserve"/>
      </w:r>
    </w:p>
    <w:p w14:paraId="0010027C" w14:textId="0010027D">
      <w:pPr>
        <w:spacing w:after="240"/>
      </w:pPr>
      <w:r>
        <w:rPr>
          <w:sz w:val="22"/>
        </w:rPr>
        <w:t xml:space="preserve">2. Before vs After Missing Values — Side-by-side comparison confirming zero missingness after cleaning in mandatory columns.</w:t>
      </w:r>
    </w:p>
    <w:p w14:paraId="0010027E" w14:textId="0010027F">
      <w:pPr>
        <w:spacing w:after="240"/>
      </w:pPr>
      <w:r>
        <w:rPr>
          <w:sz w:val="22"/>
        </w:rPr>
        <w:t xml:space="preserve"/>
      </w:r>
    </w:p>
    <w:p w14:paraId="00100280" w14:textId="00100281">
      <w:pPr>
        <w:spacing w:after="240"/>
      </w:pPr>
      <w:r>
        <w:rPr>
          <w:sz w:val="22"/>
        </w:rPr>
        <w:t xml:space="preserve">3. UnitPrice Distribution — Histogram with KDE overlay and boxplot showing the near-uniform distribution between 1 and 25.</w:t>
      </w:r>
    </w:p>
    <w:p w14:paraId="00100282" w14:textId="00100283">
      <w:pPr>
        <w:spacing w:after="240"/>
      </w:pPr>
      <w:r>
        <w:rPr>
          <w:sz w:val="22"/>
        </w:rPr>
        <w:t xml:space="preserve"/>
      </w:r>
    </w:p>
    <w:p w14:paraId="00100284" w14:textId="00100285">
      <w:pPr>
        <w:spacing w:after="240"/>
      </w:pPr>
      <w:r>
        <w:rPr>
          <w:sz w:val="22"/>
        </w:rPr>
        <w:t xml:space="preserve">4. Top 15 Brands by Order Count — Horizontal bar chart; Gerblé leads with 57 orders.</w:t>
      </w:r>
    </w:p>
    <w:p w14:paraId="00100286" w14:textId="00100287">
      <w:pPr>
        <w:spacing w:after="240"/>
      </w:pPr>
      <w:r>
        <w:rPr>
          <w:sz w:val="22"/>
        </w:rPr>
        <w:t xml:space="preserve"/>
      </w:r>
    </w:p>
    <w:p w14:paraId="00100288" w14:textId="00100289">
      <w:pPr>
        <w:spacing w:after="240"/>
      </w:pPr>
      <w:r>
        <w:rPr>
          <w:sz w:val="22"/>
        </w:rPr>
        <w:t xml:space="preserve">5. Top 15 Countries by Order Count — Horizontal bar chart; France dominates with 1,588 orders.</w:t>
      </w:r>
    </w:p>
    <w:p w14:paraId="0010028A" w14:textId="0010028B">
      <w:pPr>
        <w:spacing w:after="240"/>
      </w:pPr>
      <w:r>
        <w:rPr>
          <w:sz w:val="22"/>
        </w:rPr>
        <w:t xml:space="preserve"/>
      </w:r>
    </w:p>
    <w:p w14:paraId="0010028C" w14:textId="0010028D">
      <w:pPr>
        <w:spacing w:after="240"/>
      </w:pPr>
      <w:r>
        <w:rPr>
          <w:sz w:val="22"/>
        </w:rPr>
        <w:t xml:space="preserve">6. Orders by Year and Month — Dual chart showing year breakdown (2024, 2025, 2026 partial) and monthly seasonality.</w:t>
      </w:r>
    </w:p>
    <w:p w14:paraId="0010028E" w14:textId="0010028F">
      <w:pPr>
        <w:spacing w:after="240"/>
      </w:pPr>
      <w:r>
        <w:rPr>
          <w:sz w:val="22"/>
        </w:rPr>
        <w:t xml:space="preserve"/>
      </w:r>
    </w:p>
    <w:p w14:paraId="00100290" w14:textId="00100291">
      <w:pPr>
        <w:spacing w:after="240"/>
      </w:pPr>
      <w:r>
        <w:rPr>
          <w:sz w:val="22"/>
        </w:rPr>
        <w:t xml:space="preserve">7. Orders by Day of Week — Bar chart showing uniform distribution across all seven days.</w:t>
      </w:r>
    </w:p>
    <w:p w14:paraId="00100292" w14:textId="00100293">
      <w:pPr>
        <w:spacing w:after="240"/>
      </w:pPr>
      <w:r>
        <w:rPr>
          <w:sz w:val="22"/>
        </w:rPr>
        <w:t xml:space="preserve"/>
      </w:r>
    </w:p>
    <w:p w14:paraId="00100294" w14:textId="00100295">
      <w:pPr>
        <w:spacing w:after="240"/>
      </w:pPr>
      <w:r>
        <w:rPr>
          <w:sz w:val="22"/>
        </w:rPr>
        <w:t xml:space="preserve">8. Product Weight Distribution — Histogram (≤1000 g) and boxplot; median weight 150 g.</w:t>
      </w:r>
    </w:p>
    <w:p w14:paraId="00100296" w14:textId="00100297">
      <w:pPr>
        <w:spacing w:after="240"/>
      </w:pPr>
      <w:r>
        <w:rPr>
          <w:sz w:val="22"/>
        </w:rPr>
        <w:t xml:space="preserve"/>
      </w:r>
    </w:p>
    <w:p w14:paraId="00100298" w14:textId="00100299">
      <w:pPr>
        <w:spacing w:after="240"/>
      </w:pPr>
      <w:r>
        <w:rPr>
          <w:sz w:val="22"/>
        </w:rPr>
        <w:t xml:space="preserve">9. Average Unit Price by Top Brands — Horizontal bar chart for brands with ≥10 orders, ranked by mean price.</w:t>
      </w:r>
    </w:p>
    <w:p w14:paraId="0010029A" w14:textId="0010029B">
      <w:pPr>
        <w:spacing w:after="240"/>
      </w:pPr>
      <w:r>
        <w:rPr>
          <w:sz w:val="22"/>
        </w:rPr>
        <w:t xml:space="preserve"/>
      </w:r>
    </w:p>
    <w:p w14:paraId="0010029C" w14:textId="0010029D">
      <w:pPr>
        <w:spacing w:after="240"/>
      </w:pPr>
      <w:r>
        <w:rPr>
          <w:sz w:val="22"/>
        </w:rPr>
        <w:t xml:space="preserve">10. Order Volume by Quarter — Bar chart covering 2024-Q1 through 2026-Q1.</w:t>
      </w:r>
    </w:p>
    <w:p w14:paraId="0010029E" w14:textId="0010029F">
      <w:pPr>
        <w:spacing w:after="240"/>
      </w:pPr>
      <w:r>
        <w:rPr>
          <w:sz w:val="22"/>
        </w:rPr>
        <w:t xml:space="preserve"/>
      </w:r>
    </w:p>
    <w:p w14:paraId="001002A0" w14:textId="001002A1">
      <w:pPr>
        <w:spacing w:after="240"/>
      </w:pPr>
      <w:r>
        <w:rPr>
          <w:sz w:val="22"/>
        </w:rPr>
        <w:t xml:space="preserve">11. UnitPrice by Top 5 Countries — Box plots per country showing similar price distributions.</w:t>
      </w:r>
    </w:p>
    <w:p w14:paraId="001002A2" w14:textId="001002A3">
      <w:pPr>
        <w:spacing w:after="240"/>
      </w:pPr>
      <w:r>
        <w:rPr>
          <w:sz w:val="22"/>
        </w:rPr>
        <w:t xml:space="preserve"/>
      </w:r>
    </w:p>
    <w:p w14:paraId="001002A4" w14:textId="001002A5">
      <w:pPr>
        <w:spacing w:after="240"/>
      </w:pPr>
      <w:r>
        <w:rPr>
          <w:sz w:val="22"/>
        </w:rPr>
        <w:t xml:space="preserve">12. Correlation Heatmap — Pairwise Pearson correlations between CustomerID, UnitPrice, weight_grams, order_year, order_month, order_quarter; no strong correlations found.</w:t>
      </w:r>
    </w:p>
    <w:p w14:paraId="001002A6" w14:textId="001002A7">
      <w:pPr>
        <w:spacing w:after="240"/>
      </w:pPr>
      <w:r>
        <w:rPr>
          <w:sz w:val="22"/>
        </w:rPr>
        <w:t xml:space="preserve"/>
      </w:r>
    </w:p>
    <w:p w14:paraId="001002A8" w14:textId="001002A9">
      <w:pPr>
        <w:spacing w:after="240"/>
      </w:pPr>
      <w:r>
        <w:rPr>
          <w:sz w:val="22"/>
        </w:rPr>
        <w:t xml:space="preserve">13. Top 20 Products by Order Frequency — Horizontal bar chart of most-ordered products.</w:t>
      </w:r>
    </w:p>
    <w:p w14:paraId="001002AA" w14:textId="001002AB">
      <w:pPr>
        <w:spacing w:after="240"/>
      </w:pPr>
      <w:r>
        <w:rPr>
          <w:sz w:val="22"/>
        </w:rPr>
        <w:t xml:space="preserve"/>
      </w:r>
    </w:p>
    <w:p w14:paraId="001002AC" w14:textId="001002AD">
      <w:pPr>
        <w:spacing w:after="240"/>
      </w:pPr>
      <w:r>
        <w:rPr>
          <w:sz w:val="22"/>
        </w:rPr>
        <w:t xml:space="preserve">14. Observed vs Imputed Prices — Bar chart showing 2,615 observed vs 375 median-imputed price values.</w:t>
      </w:r>
    </w:p>
    <w:p w14:paraId="001002AE" w14:textId="001002AF">
      <w:pPr>
        <w:spacing w:after="240"/>
      </w:pPr>
      <w:r>
        <w:rPr>
          <w:sz w:val="22"/>
        </w:rPr>
        <w:t xml:space="preserve"/>
      </w:r>
    </w:p>
    <w:p w14:paraId="001002B0" w14:textId="001002B1">
      <w:pPr>
        <w:spacing w:after="240"/>
      </w:pPr>
      <w:r>
        <w:rPr>
          <w:sz w:val="22"/>
        </w:rPr>
        <w:t xml:space="preserve">15. Orders by Price Tier — Bar chart showing approximately equal distribution across Budget, Mid-range, Premium, and Luxury tiers.</w:t>
      </w:r>
    </w:p>
    <w:p w14:paraId="001002B2" w14:textId="001002B3">
      <w:pPr>
        <w:pStyle w:val="Heading1"/>
        <w:spacing w:after="160"/>
      </w:pPr>
      <w:r>
        <w:rPr>
          <w:b/>
          <w:sz w:val="32"/>
        </w:rPr>
        <w:t xml:space="preserve">16. Key Findings</w:t>
      </w:r>
    </w:p>
    <w:p w14:paraId="001002B4" w14:textId="001002B5">
      <w:pPr>
        <w:spacing w:after="240"/>
      </w:pPr>
      <w:r>
        <w:rPr>
          <w:sz w:val="22"/>
        </w:rPr>
        <w:t xml:space="preserve">All findings below are derived directly from the cleaned dataset (2,990 orders):</w:t>
      </w:r>
    </w:p>
    <w:p w14:paraId="001002B6" w14:textId="001002B7">
      <w:pPr>
        <w:spacing w:after="240"/>
      </w:pPr>
      <w:r>
        <w:rPr>
          <w:sz w:val="22"/>
        </w:rPr>
        <w:t xml:space="preserve"/>
      </w:r>
    </w:p>
    <w:p w14:paraId="001002B8" w14:textId="001002B9">
      <w:pPr>
        <w:spacing w:after="240"/>
      </w:pPr>
      <w:r>
        <w:rPr>
          <w:sz w:val="22"/>
        </w:rPr>
        <w:t xml:space="preserve">1. Dataset completeness improved significantly: All mandatory fields (productname, brand, unitprice) now have 0% missing after cleaning.</w:t>
      </w:r>
    </w:p>
    <w:p w14:paraId="001002BA" w14:textId="001002BB">
      <w:pPr>
        <w:spacing w:after="240"/>
      </w:pPr>
      <w:r>
        <w:rPr>
          <w:sz w:val="22"/>
        </w:rPr>
        <w:t xml:space="preserve"/>
      </w:r>
    </w:p>
    <w:p w14:paraId="001002BC" w14:textId="001002BD">
      <w:pPr>
        <w:spacing w:after="240"/>
      </w:pPr>
      <w:r>
        <w:rPr>
          <w:sz w:val="22"/>
        </w:rPr>
        <w:t xml:space="preserve">2. Raw_Weight had the highest raw missingness at 17.1% (512 rows), revealing a data collection gap in product catalog data.</w:t>
      </w:r>
    </w:p>
    <w:p w14:paraId="001002BE" w14:textId="001002BF">
      <w:pPr>
        <w:spacing w:after="240"/>
      </w:pPr>
      <w:r>
        <w:rPr>
          <w:sz w:val="22"/>
        </w:rPr>
        <w:t xml:space="preserve"/>
      </w:r>
    </w:p>
    <w:p w14:paraId="001002C0" w14:textId="001002C1">
      <w:pPr>
        <w:spacing w:after="240"/>
      </w:pPr>
      <w:r>
        <w:rPr>
          <w:sz w:val="22"/>
        </w:rPr>
        <w:t xml:space="preserve">3. Gerblé is the top brand by order count (57 orders), followed by Hacendado (50) and Carrefour (41).</w:t>
      </w:r>
    </w:p>
    <w:p w14:paraId="001002C2" w14:textId="001002C3">
      <w:pPr>
        <w:spacing w:after="240"/>
      </w:pPr>
      <w:r>
        <w:rPr>
          <w:sz w:val="22"/>
        </w:rPr>
        <w:t xml:space="preserve"/>
      </w:r>
    </w:p>
    <w:p w14:paraId="001002C4" w14:textId="001002C5">
      <w:pPr>
        <w:spacing w:after="240"/>
      </w:pPr>
      <w:r>
        <w:rPr>
          <w:sz w:val="22"/>
        </w:rPr>
        <w:t xml:space="preserve">4. France is overwhelmingly the primary market, accounting for 1,588 of 2,990 orders (53.1%).</w:t>
      </w:r>
    </w:p>
    <w:p w14:paraId="001002C6" w14:textId="001002C7">
      <w:pPr>
        <w:spacing w:after="240"/>
      </w:pPr>
      <w:r>
        <w:rPr>
          <w:sz w:val="22"/>
        </w:rPr>
        <w:t xml:space="preserve"/>
      </w:r>
    </w:p>
    <w:p w14:paraId="001002C8" w14:textId="001002C9">
      <w:pPr>
        <w:spacing w:after="240"/>
      </w:pPr>
      <w:r>
        <w:rPr>
          <w:sz w:val="22"/>
        </w:rPr>
        <w:t xml:space="preserve">5. Morocco is the second-largest primary market, reflecting a significant North African customer base.</w:t>
      </w:r>
    </w:p>
    <w:p w14:paraId="001002CA" w14:textId="001002CB">
      <w:pPr>
        <w:spacing w:after="240"/>
      </w:pPr>
      <w:r>
        <w:rPr>
          <w:sz w:val="22"/>
        </w:rPr>
        <w:t xml:space="preserve"/>
      </w:r>
    </w:p>
    <w:p w14:paraId="001002CC" w14:textId="001002CD">
      <w:pPr>
        <w:spacing w:after="240"/>
      </w:pPr>
      <w:r>
        <w:rPr>
          <w:sz w:val="22"/>
        </w:rPr>
        <w:t xml:space="preserve">6. Price is uniformly distributed between 1.00 and 24.99 with median 13.16 — all four price tiers are equally represented.</w:t>
      </w:r>
    </w:p>
    <w:p w14:paraId="001002CE" w14:textId="001002CF">
      <w:pPr>
        <w:spacing w:after="240"/>
      </w:pPr>
      <w:r>
        <w:rPr>
          <w:sz w:val="22"/>
        </w:rPr>
        <w:t xml:space="preserve"/>
      </w:r>
    </w:p>
    <w:p w14:paraId="001002D0" w14:textId="001002D1">
      <w:pPr>
        <w:spacing w:after="240"/>
      </w:pPr>
      <w:r>
        <w:rPr>
          <w:sz w:val="22"/>
        </w:rPr>
        <w:t xml:space="preserve">7. Median product weight is 150 g; most products weigh between 100–300 g, consistent with snack packaging.</w:t>
      </w:r>
    </w:p>
    <w:p w14:paraId="001002D2" w14:textId="001002D3">
      <w:pPr>
        <w:spacing w:after="240"/>
      </w:pPr>
      <w:r>
        <w:rPr>
          <w:sz w:val="22"/>
        </w:rPr>
        <w:t xml:space="preserve"/>
      </w:r>
    </w:p>
    <w:p w14:paraId="001002D4" w14:textId="001002D5">
      <w:pPr>
        <w:spacing w:after="240"/>
      </w:pPr>
      <w:r>
        <w:rPr>
          <w:sz w:val="22"/>
        </w:rPr>
        <w:t xml:space="preserve">8. Price and weight have near-zero correlation (confirmed in heatmap), indicating pricing is driven by brand and product type rather than package size.</w:t>
      </w:r>
    </w:p>
    <w:p w14:paraId="001002D6" w14:textId="001002D7">
      <w:pPr>
        <w:spacing w:after="240"/>
      </w:pPr>
      <w:r>
        <w:rPr>
          <w:sz w:val="22"/>
        </w:rPr>
        <w:t xml:space="preserve"/>
      </w:r>
    </w:p>
    <w:p w14:paraId="001002D8" w14:textId="001002D9">
      <w:pPr>
        <w:spacing w:after="240"/>
      </w:pPr>
      <w:r>
        <w:rPr>
          <w:sz w:val="22"/>
        </w:rPr>
        <w:t xml:space="preserve">9. 8 duplicate OrderID pairs were found, each involving different customers and products — indicating a system-level order ID generation bug.</w:t>
      </w:r>
    </w:p>
    <w:p w14:paraId="001002DA" w14:textId="001002DB">
      <w:pPr>
        <w:spacing w:after="240"/>
      </w:pPr>
      <w:r>
        <w:rPr>
          <w:sz w:val="22"/>
        </w:rPr>
        <w:t xml:space="preserve"/>
      </w:r>
    </w:p>
    <w:p w14:paraId="001002DC" w14:textId="001002DD">
      <w:pPr>
        <w:spacing w:after="240"/>
      </w:pPr>
      <w:r>
        <w:rPr>
          <w:sz w:val="22"/>
        </w:rPr>
        <w:t xml:space="preserve">10. 120 brand capitalisation inconsistency groups were standardised, preventing over-counting of distinct brands in brand-level analysis.</w:t>
      </w:r>
    </w:p>
    <w:p w14:paraId="001002DE" w14:textId="001002DF">
      <w:pPr>
        <w:spacing w:after="240"/>
      </w:pPr>
      <w:r>
        <w:rPr>
          <w:sz w:val="22"/>
        </w:rPr>
        <w:t xml:space="preserve"/>
      </w:r>
    </w:p>
    <w:p w14:paraId="001002E0" w14:textId="001002E1">
      <w:pPr>
        <w:spacing w:after="240"/>
      </w:pPr>
      <w:r>
        <w:rPr>
          <w:sz w:val="22"/>
        </w:rPr>
        <w:t xml:space="preserve">11. 375 unit prices were imputed using the median (13.16). These are flagged in the price_imputed column.</w:t>
      </w:r>
    </w:p>
    <w:p w14:paraId="001002E2" w14:textId="001002E3">
      <w:pPr>
        <w:spacing w:after="240"/>
      </w:pPr>
      <w:r>
        <w:rPr>
          <w:sz w:val="22"/>
        </w:rPr>
        <w:t xml:space="preserve"/>
      </w:r>
    </w:p>
    <w:p w14:paraId="001002E4" w14:textId="001002E5">
      <w:pPr>
        <w:spacing w:after="240"/>
      </w:pPr>
      <w:r>
        <w:rPr>
          <w:sz w:val="22"/>
        </w:rPr>
        <w:t xml:space="preserve">12. Orders are distributed fairly uniformly across months and days of the week — no strong seasonal or day-of-week pattern.</w:t>
      </w:r>
    </w:p>
    <w:p w14:paraId="001002E6" w14:textId="001002E7">
      <w:pPr>
        <w:pStyle w:val="Heading1"/>
        <w:spacing w:after="160"/>
      </w:pPr>
      <w:r>
        <w:rPr>
          <w:b/>
          <w:sz w:val="32"/>
        </w:rPr>
        <w:t xml:space="preserve">17. Business Insights</w:t>
      </w:r>
    </w:p>
    <w:p w14:paraId="001002E8" w14:textId="001002E9">
      <w:pPr>
        <w:spacing w:after="240"/>
      </w:pPr>
      <w:r>
        <w:rPr>
          <w:sz w:val="22"/>
        </w:rPr>
        <w:t xml:space="preserve">The following business insights are actionable recommendations derived from the cleaned data and EDA:</w:t>
      </w:r>
    </w:p>
    <w:p w14:paraId="001002EA" w14:textId="001002EB">
      <w:pPr>
        <w:spacing w:after="240"/>
      </w:pPr>
      <w:r>
        <w:rPr>
          <w:sz w:val="22"/>
        </w:rPr>
        <w:t xml:space="preserve"/>
      </w:r>
    </w:p>
    <w:p w14:paraId="001002EC" w14:textId="001002ED">
      <w:pPr>
        <w:spacing w:after="240"/>
      </w:pPr>
      <w:r>
        <w:rPr>
          <w:sz w:val="22"/>
        </w:rPr>
        <w:t xml:space="preserve">Insight 1 — Double Down on the French Market</w:t>
      </w:r>
    </w:p>
    <w:p w14:paraId="001002EE" w14:textId="001002EF">
      <w:pPr>
        <w:spacing w:after="240"/>
      </w:pPr>
      <w:r>
        <w:rPr>
          <w:sz w:val="22"/>
        </w:rPr>
        <w:t xml:space="preserve">France generates over half of all orders. The retailer should prioritise French market compliance, stocking decisions, and customer retention programs. French-specific promotions and loyalty schemes could further strengthen this dominant position.</w:t>
      </w:r>
    </w:p>
    <w:p w14:paraId="001002F0" w14:textId="001002F1">
      <w:pPr>
        <w:spacing w:after="240"/>
      </w:pPr>
      <w:r>
        <w:rPr>
          <w:sz w:val="22"/>
        </w:rPr>
        <w:t xml:space="preserve"/>
      </w:r>
    </w:p>
    <w:p w14:paraId="001002F2" w14:textId="001002F3">
      <w:pPr>
        <w:spacing w:after="240"/>
      </w:pPr>
      <w:r>
        <w:rPr>
          <w:sz w:val="22"/>
        </w:rPr>
        <w:t xml:space="preserve">Insight 2 — Morocco is an Underserved High-Potential Market</w:t>
      </w:r>
    </w:p>
    <w:p w14:paraId="001002F4" w14:textId="001002F5">
      <w:pPr>
        <w:spacing w:after="240"/>
      </w:pPr>
      <w:r>
        <w:rPr>
          <w:sz w:val="22"/>
        </w:rPr>
        <w:t xml:space="preserve">Morocco ranks second in primary market orders and is the top market for Moroccan-specific brands (Excelo, Bimo, Aiguebelle, Henry's). Targeted investment in Moroccan distribution, pricing localisation, and brand partnerships could accelerate growth.</w:t>
      </w:r>
    </w:p>
    <w:p w14:paraId="001002F6" w14:textId="001002F7">
      <w:pPr>
        <w:spacing w:after="240"/>
      </w:pPr>
      <w:r>
        <w:rPr>
          <w:sz w:val="22"/>
        </w:rPr>
        <w:t xml:space="preserve"/>
      </w:r>
    </w:p>
    <w:p w14:paraId="001002F8" w14:textId="001002F9">
      <w:pPr>
        <w:spacing w:after="240"/>
      </w:pPr>
      <w:r>
        <w:rPr>
          <w:sz w:val="22"/>
        </w:rPr>
        <w:t xml:space="preserve">Insight 3 — Health-Oriented Brands Command Consistent Demand</w:t>
      </w:r>
    </w:p>
    <w:p w14:paraId="001002FA" w14:textId="001002FB">
      <w:pPr>
        <w:spacing w:after="240"/>
      </w:pPr>
      <w:r>
        <w:rPr>
          <w:sz w:val="22"/>
        </w:rPr>
        <w:t xml:space="preserve">Gerblé (57 orders) leads all brands — a health-food biscuit brand. Bjorg, Nature Valley, and Nakd also appear in the top brands. This signals strong consumer demand for healthier snack alternatives and justifies expanding the health-food product range.</w:t>
      </w:r>
    </w:p>
    <w:p w14:paraId="001002FC" w14:textId="001002FD">
      <w:pPr>
        <w:spacing w:after="240"/>
      </w:pPr>
      <w:r>
        <w:rPr>
          <w:sz w:val="22"/>
        </w:rPr>
        <w:t xml:space="preserve"/>
      </w:r>
    </w:p>
    <w:p w14:paraId="001002FE" w14:textId="001002FF">
      <w:pPr>
        <w:spacing w:after="240"/>
      </w:pPr>
      <w:r>
        <w:rPr>
          <w:sz w:val="22"/>
        </w:rPr>
        <w:t xml:space="preserve">Insight 4 — Broad Price Tier Coverage is a Strength</w:t>
      </w:r>
    </w:p>
    <w:p w14:paraId="00100300" w14:textId="00100301">
      <w:pPr>
        <w:spacing w:after="240"/>
      </w:pPr>
      <w:r>
        <w:rPr>
          <w:sz w:val="22"/>
        </w:rPr>
        <w:t xml:space="preserve">With approximately equal representation across all four price tiers (Budget to Luxury), the retailer successfully serves diverse customer segments. The challenge is ensuring margin management across this range — premium products should be promoted more aggressively to improve average order value.</w:t>
      </w:r>
    </w:p>
    <w:p w14:paraId="00100302" w14:textId="00100303">
      <w:pPr>
        <w:spacing w:after="240"/>
      </w:pPr>
      <w:r>
        <w:rPr>
          <w:sz w:val="22"/>
        </w:rPr>
        <w:t xml:space="preserve"/>
      </w:r>
    </w:p>
    <w:p w14:paraId="00100304" w14:textId="00100305">
      <w:pPr>
        <w:spacing w:after="240"/>
      </w:pPr>
      <w:r>
        <w:rPr>
          <w:sz w:val="22"/>
        </w:rPr>
        <w:t xml:space="preserve">Insight 5 — Fix the Order ID Generation System</w:t>
      </w:r>
    </w:p>
    <w:p w14:paraId="00100306" w14:textId="00100307">
      <w:pPr>
        <w:spacing w:after="240"/>
      </w:pPr>
      <w:r>
        <w:rPr>
          <w:sz w:val="22"/>
        </w:rPr>
        <w:t xml:space="preserve">The 8 duplicate OrderID pairs identified in this analysis indicate a bug in the order management system's ID generation logic. This must be fixed at the source to prevent data corruption in customer records, invoicing, and fraud detection systems.</w:t>
      </w:r>
    </w:p>
    <w:p w14:paraId="00100308" w14:textId="00100309">
      <w:pPr>
        <w:spacing w:after="240"/>
      </w:pPr>
      <w:r>
        <w:rPr>
          <w:sz w:val="22"/>
        </w:rPr>
        <w:t xml:space="preserve"/>
      </w:r>
    </w:p>
    <w:p w14:paraId="0010030A" w14:textId="0010030B">
      <w:pPr>
        <w:spacing w:after="240"/>
      </w:pPr>
      <w:r>
        <w:rPr>
          <w:sz w:val="22"/>
        </w:rPr>
        <w:t xml:space="preserve">Insight 6 — Improve Data Collection for Weight and Price</w:t>
      </w:r>
    </w:p>
    <w:p w14:paraId="0010030C" w14:textId="0010030D">
      <w:pPr>
        <w:spacing w:after="240"/>
      </w:pPr>
      <w:r>
        <w:rPr>
          <w:sz w:val="22"/>
        </w:rPr>
        <w:t xml:space="preserve">With 17.1% of weights and 12.8% of prices missing in the raw data, the underlying order entry or product catalog system is not enforcing mandatory fields. Implementing server-side validation to require weight and price at the point of order creation would eliminate the need for imputation entirely.</w:t>
      </w:r>
    </w:p>
    <w:p w14:paraId="0010030E" w14:textId="0010030F">
      <w:pPr>
        <w:spacing w:after="240"/>
      </w:pPr>
      <w:r>
        <w:rPr>
          <w:sz w:val="22"/>
        </w:rPr>
        <w:t xml:space="preserve"/>
      </w:r>
    </w:p>
    <w:p w14:paraId="00100310" w14:textId="00100311">
      <w:pPr>
        <w:spacing w:after="240"/>
      </w:pPr>
      <w:r>
        <w:rPr>
          <w:sz w:val="22"/>
        </w:rPr>
        <w:t xml:space="preserve">Insight 7 — Leverage Seasonal Uniformity</w:t>
      </w:r>
    </w:p>
    <w:p w14:paraId="00100312" w14:textId="00100313">
      <w:pPr>
        <w:spacing w:after="240"/>
      </w:pPr>
      <w:r>
        <w:rPr>
          <w:sz w:val="22"/>
        </w:rPr>
        <w:t xml:space="preserve">The absence of strong seasonal peaks is unusual for a food retail business and may indicate either global geographic diversification (different seasons in different markets balance out) or incomplete seasonal data. Investigating Q4 holiday-period data specifically may reveal hidden demand spikes.</w:t>
      </w:r>
    </w:p>
    <w:p w14:paraId="00100314" w14:textId="00100315">
      <w:pPr>
        <w:pStyle w:val="Heading1"/>
        <w:spacing w:after="160"/>
      </w:pPr>
      <w:r>
        <w:rPr>
          <w:b/>
          <w:sz w:val="32"/>
        </w:rPr>
        <w:t xml:space="preserve">18. Conclusion</w:t>
      </w:r>
    </w:p>
    <w:p w14:paraId="00100316" w14:textId="00100317">
      <w:pPr>
        <w:spacing w:after="240"/>
      </w:pPr>
      <w:r>
        <w:rPr>
          <w:sz w:val="22"/>
        </w:rPr>
        <w:t xml:space="preserve">This project successfully cleaned and analysed a 3,000-row real-world retail dataset that exhibited multiple, realistic data quality problems. The systematic cleaning pipeline resolved every identified issue:</w:t>
      </w:r>
    </w:p>
    <w:p w14:paraId="00100318" w14:textId="00100319">
      <w:pPr>
        <w:spacing w:after="240"/>
      </w:pPr>
      <w:r>
        <w:rPr>
          <w:sz w:val="22"/>
        </w:rPr>
        <w:t xml:space="preserve"/>
      </w:r>
    </w:p>
    <w:p w14:paraId="0010031A" w14:textId="0010031B">
      <w:pPr>
        <w:spacing w:after="240"/>
      </w:pPr>
      <w:r>
        <w:rPr>
          <w:sz w:val="22"/>
        </w:rPr>
        <w:t xml:space="preserve">• Missing values in four columns were handled using contextually appropriate methods (placeholder filling for categorical fields, median imputation for prices).</w:t>
      </w:r>
    </w:p>
    <w:p w14:paraId="0010031C" w14:textId="0010031D">
      <w:pPr>
        <w:spacing w:after="240"/>
      </w:pPr>
      <w:r>
        <w:rPr>
          <w:sz w:val="22"/>
        </w:rPr>
        <w:t xml:space="preserve">• 8 duplicate order IDs were disambiguated without any data loss.</w:t>
      </w:r>
    </w:p>
    <w:p w14:paraId="0010031E" w14:textId="0010031F">
      <w:pPr>
        <w:spacing w:after="240"/>
      </w:pPr>
      <w:r>
        <w:rPr>
          <w:sz w:val="22"/>
        </w:rPr>
        <w:t xml:space="preserve">• 120 brand name capitalisation groups were unified into a consistent standard.</w:t>
      </w:r>
    </w:p>
    <w:p w14:paraId="00100320" w14:textId="00100321">
      <w:pPr>
        <w:spacing w:after="240"/>
      </w:pPr>
      <w:r>
        <w:rPr>
          <w:sz w:val="22"/>
        </w:rPr>
        <w:t xml:space="preserve">• The free-text weight field was parsed into a numeric column using regex with unit conversion.</w:t>
      </w:r>
    </w:p>
    <w:p w14:paraId="00100322" w14:textId="00100323">
      <w:pPr>
        <w:spacing w:after="240"/>
      </w:pPr>
      <w:r>
        <w:rPr>
          <w:sz w:val="22"/>
        </w:rPr>
        <w:t xml:space="preserve">• Multilingual, multi-value country names were normalised to a clean primary_country column.</w:t>
      </w:r>
    </w:p>
    <w:p w14:paraId="00100324" w14:textId="00100325">
      <w:pPr>
        <w:spacing w:after="240"/>
      </w:pPr>
      <w:r>
        <w:rPr>
          <w:sz w:val="22"/>
        </w:rPr>
        <w:t xml:space="preserve">• 10 fully-empty records were removed after confirming they contained no analytical value.</w:t>
      </w:r>
    </w:p>
    <w:p w14:paraId="00100326" w14:textId="00100327">
      <w:pPr>
        <w:spacing w:after="240"/>
      </w:pPr>
      <w:r>
        <w:rPr>
          <w:sz w:val="22"/>
        </w:rPr>
        <w:t xml:space="preserve"/>
      </w:r>
    </w:p>
    <w:p w14:paraId="00100328" w14:textId="00100329">
      <w:pPr>
        <w:spacing w:after="240"/>
      </w:pPr>
      <w:r>
        <w:rPr>
          <w:sz w:val="22"/>
        </w:rPr>
        <w:t xml:space="preserve">The cleaned dataset (2,990 rows, 15 columns) is fully validated and analysis-ready. The EDA revealed that France is the dominant market, Gerblé leads in orders, prices are uniformly distributed across all tiers, and the typical product weighs approximately 150 g. Seven actionable business insights were derived, spanning market strategy, product portfolio decisions, data infrastructure improvements, and operational fixes.</w:t>
      </w:r>
    </w:p>
    <w:p w14:paraId="0010032A" w14:textId="0010032B">
      <w:pPr>
        <w:spacing w:after="240"/>
      </w:pPr>
      <w:r>
        <w:rPr>
          <w:sz w:val="22"/>
        </w:rPr>
        <w:t xml:space="preserve"/>
      </w:r>
    </w:p>
    <w:p w14:paraId="0010032C" w14:textId="0010032D">
      <w:pPr>
        <w:spacing w:after="240"/>
      </w:pPr>
      <w:r>
        <w:rPr>
          <w:sz w:val="22"/>
        </w:rPr>
        <w:t xml:space="preserve">This project demonstrates the critical importance of rigorous data cleaning before any analytics or machine learning work, and provides a reusable, documented Python pipeline that can be adapted for ongoing data quality management.</w:t>
      </w:r>
    </w:p>
    <w:p w14:paraId="0010032E" w14:textId="0010032F">
      <w:pPr>
        <w:pStyle w:val="Heading1"/>
        <w:spacing w:after="160"/>
      </w:pPr>
      <w:r>
        <w:rPr>
          <w:b/>
          <w:sz w:val="32"/>
        </w:rPr>
        <w:t xml:space="preserve">19. Limitations</w:t>
      </w:r>
    </w:p>
    <w:p w14:paraId="00100330" w14:textId="00100331">
      <w:pPr>
        <w:spacing w:after="240"/>
      </w:pPr>
      <w:r>
        <w:rPr>
          <w:sz w:val="22"/>
        </w:rPr>
        <w:t xml:space="preserve">• No quantity or sales volume column: Order count is used as a demand proxy. Without unit quantities, true revenue cannot be calculated precisely.</w:t>
      </w:r>
    </w:p>
    <w:p w14:paraId="00100332" w14:textId="00100333">
      <w:pPr>
        <w:spacing w:after="240"/>
      </w:pPr>
      <w:r>
        <w:rPr>
          <w:sz w:val="22"/>
        </w:rPr>
        <w:t xml:space="preserve"/>
      </w:r>
    </w:p>
    <w:p w14:paraId="00100334" w14:textId="00100335">
      <w:pPr>
        <w:spacing w:after="240"/>
      </w:pPr>
      <w:r>
        <w:rPr>
          <w:sz w:val="22"/>
        </w:rPr>
        <w:t xml:space="preserve">• Incomplete multi-language normalisation: Country and brand names in non-Latin scripts (Arabic, Thai, Chinese, Cyrillic) are not fully normalised and appear in their original form in some records.</w:t>
      </w:r>
    </w:p>
    <w:p w14:paraId="00100336" w14:textId="00100337">
      <w:pPr>
        <w:spacing w:after="240"/>
      </w:pPr>
      <w:r>
        <w:rPr>
          <w:sz w:val="22"/>
        </w:rPr>
        <w:t xml:space="preserve"/>
      </w:r>
    </w:p>
    <w:p w14:paraId="00100338" w14:textId="00100339">
      <w:pPr>
        <w:spacing w:after="240"/>
      </w:pPr>
      <w:r>
        <w:rPr>
          <w:sz w:val="22"/>
        </w:rPr>
        <w:t xml:space="preserve">• Future-dated orders retained: 825 orders have dates beyond 2025-12-31 (up to 2026-02-04). These are retained as potentially valid forward orders but have not been separately validated.</w:t>
      </w:r>
    </w:p>
    <w:p w14:paraId="0010033A" w14:textId="0010033B">
      <w:pPr>
        <w:spacing w:after="240"/>
      </w:pPr>
      <w:r>
        <w:rPr>
          <w:sz w:val="22"/>
        </w:rPr>
        <w:t xml:space="preserve"/>
      </w:r>
    </w:p>
    <w:p w14:paraId="0010033C" w14:textId="0010033D">
      <w:pPr>
        <w:spacing w:after="240"/>
      </w:pPr>
      <w:r>
        <w:rPr>
          <w:sz w:val="22"/>
        </w:rPr>
        <w:t xml:space="preserve">• Brand multi-value entries not split: Some Brand cells contain multiple brands separated by commas (e.g. 'LU, Mondelez'). These are standardised as a unit but not split into individual brand records.</w:t>
      </w:r>
    </w:p>
    <w:p w14:paraId="0010033E" w14:textId="0010033F">
      <w:pPr>
        <w:spacing w:after="240"/>
      </w:pPr>
      <w:r>
        <w:rPr>
          <w:sz w:val="22"/>
        </w:rPr>
        <w:t xml:space="preserve"/>
      </w:r>
    </w:p>
    <w:p w14:paraId="00100340" w14:textId="00100341">
      <w:pPr>
        <w:spacing w:after="240"/>
      </w:pPr>
      <w:r>
        <w:rPr>
          <w:sz w:val="22"/>
        </w:rPr>
        <w:t xml:space="preserve">• Median price imputation introduces bias: For products with genuinely different price ranges from the median, imputation will distort price distribution analysis. The price_imputed flag enables downstream filtering.</w:t>
      </w:r>
    </w:p>
    <w:p w14:paraId="00100342" w14:textId="00100343">
      <w:pPr>
        <w:spacing w:after="240"/>
      </w:pPr>
      <w:r>
        <w:rPr>
          <w:sz w:val="22"/>
        </w:rPr>
        <w:t xml:space="preserve"/>
      </w:r>
    </w:p>
    <w:p w14:paraId="00100344" w14:textId="00100345">
      <w:pPr>
        <w:spacing w:after="240"/>
      </w:pPr>
      <w:r>
        <w:rPr>
          <w:sz w:val="22"/>
        </w:rPr>
        <w:t xml:space="preserve">• Country field complexity: The multi-valued nature of the Country column (products sold in up to 20 countries) means a single 'primary country' simplification loses information about multi-market availability.</w:t>
      </w:r>
    </w:p>
    <w:p w14:paraId="00100346" w14:textId="00100347">
      <w:pPr>
        <w:pStyle w:val="Heading1"/>
        <w:spacing w:after="160"/>
      </w:pPr>
      <w:r>
        <w:rPr>
          <w:b/>
          <w:sz w:val="32"/>
        </w:rPr>
        <w:t xml:space="preserve">20. Future Scope</w:t>
      </w:r>
    </w:p>
    <w:p w14:paraId="00100348" w14:textId="00100349">
      <w:pPr>
        <w:spacing w:after="240"/>
      </w:pPr>
      <w:r>
        <w:rPr>
          <w:sz w:val="22"/>
        </w:rPr>
        <w:t xml:space="preserve">1. Geo-normalisation library integration: Integrate pycountry or geopy to perform complete, programmatic normalisation of all country names across all languages and scripts.</w:t>
      </w:r>
    </w:p>
    <w:p w14:paraId="0010034A" w14:textId="0010034B">
      <w:pPr>
        <w:spacing w:after="240"/>
      </w:pPr>
      <w:r>
        <w:rPr>
          <w:sz w:val="22"/>
        </w:rPr>
        <w:t xml:space="preserve"/>
      </w:r>
    </w:p>
    <w:p w14:paraId="0010034C" w14:textId="0010034D">
      <w:pPr>
        <w:spacing w:after="240"/>
      </w:pPr>
      <w:r>
        <w:rPr>
          <w:sz w:val="22"/>
        </w:rPr>
        <w:t xml:space="preserve">2. NLP-based product categorisation: Apply keyword matching or a pre-trained NLP classifier to assign standardised product categories (chocolate, crisps, biscuits, bread, nuts, confectionery) to each record.</w:t>
      </w:r>
    </w:p>
    <w:p w14:paraId="0010034E" w14:textId="0010034F">
      <w:pPr>
        <w:spacing w:after="240"/>
      </w:pPr>
      <w:r>
        <w:rPr>
          <w:sz w:val="22"/>
        </w:rPr>
        <w:t xml:space="preserve"/>
      </w:r>
    </w:p>
    <w:p w14:paraId="00100350" w14:textId="00100351">
      <w:pPr>
        <w:spacing w:after="240"/>
      </w:pPr>
      <w:r>
        <w:rPr>
          <w:sz w:val="22"/>
        </w:rPr>
        <w:t xml:space="preserve">3. Customer segmentation: Cluster customers by order frequency, average spend, preferred brands, and geographic market to enable targeted marketing campaigns.</w:t>
      </w:r>
    </w:p>
    <w:p w14:paraId="00100352" w14:textId="00100353">
      <w:pPr>
        <w:spacing w:after="240"/>
      </w:pPr>
      <w:r>
        <w:rPr>
          <w:sz w:val="22"/>
        </w:rPr>
        <w:t xml:space="preserve"/>
      </w:r>
    </w:p>
    <w:p w14:paraId="00100354" w14:textId="00100355">
      <w:pPr>
        <w:spacing w:after="240"/>
      </w:pPr>
      <w:r>
        <w:rPr>
          <w:sz w:val="22"/>
        </w:rPr>
        <w:t xml:space="preserve">4. Time-series demand forecasting: With the clean temporal features now available, apply ARIMA, Prophet, or LSTM models to forecast monthly order volumes by country and product category.</w:t>
      </w:r>
    </w:p>
    <w:p w14:paraId="00100356" w14:textId="00100357">
      <w:pPr>
        <w:spacing w:after="240"/>
      </w:pPr>
      <w:r>
        <w:rPr>
          <w:sz w:val="22"/>
        </w:rPr>
        <w:t xml:space="preserve"/>
      </w:r>
    </w:p>
    <w:p w14:paraId="00100358" w14:textId="00100359">
      <w:pPr>
        <w:spacing w:after="240"/>
      </w:pPr>
      <w:r>
        <w:rPr>
          <w:sz w:val="22"/>
        </w:rPr>
        <w:t xml:space="preserve">5. Price elasticity modelling: If quantity-sold data is added to the dataset, price sensitivity per product and brand can be estimated using regression analysis.</w:t>
      </w:r>
    </w:p>
    <w:p w14:paraId="0010035A" w14:textId="0010035B">
      <w:pPr>
        <w:spacing w:after="240"/>
      </w:pPr>
      <w:r>
        <w:rPr>
          <w:sz w:val="22"/>
        </w:rPr>
        <w:t xml:space="preserve"/>
      </w:r>
    </w:p>
    <w:p w14:paraId="0010035C" w14:textId="0010035D">
      <w:pPr>
        <w:spacing w:after="240"/>
      </w:pPr>
      <w:r>
        <w:rPr>
          <w:sz w:val="22"/>
        </w:rPr>
        <w:t xml:space="preserve">6. Automated data quality monitoring: Build a data quality scoring pipeline using Great Expectations or custom Pandas validators to automatically flag incoming records that violate the quality rules identified in this project.</w:t>
      </w:r>
    </w:p>
    <w:p w14:paraId="0010035E" w14:textId="0010035F">
      <w:pPr>
        <w:spacing w:after="240"/>
      </w:pPr>
      <w:r>
        <w:rPr>
          <w:sz w:val="22"/>
        </w:rPr>
        <w:t xml:space="preserve"/>
      </w:r>
    </w:p>
    <w:p w14:paraId="00100360" w14:textId="00100361">
      <w:pPr>
        <w:spacing w:after="240"/>
      </w:pPr>
      <w:r>
        <w:rPr>
          <w:sz w:val="22"/>
        </w:rPr>
        <w:t xml:space="preserve">7. Brand consolidation analysis: Rows with multi-brand entries (comma-separated) should be split into individual brand-level records to enable accurate brand-level market share analysis.</w:t>
      </w:r>
    </w:p>
    <w:p w14:paraId="00100362" w14:textId="00100363">
      <w:pPr>
        <w:pStyle w:val="Heading1"/>
        <w:spacing w:after="160"/>
      </w:pPr>
      <w:r>
        <w:rPr>
          <w:b/>
          <w:sz w:val="32"/>
        </w:rPr>
        <w:t xml:space="preserve">21. Technologies Used</w:t>
      </w:r>
    </w:p>
    <w:p w14:paraId="00100364" w14:textId="00100365">
      <w:pPr>
        <w:spacing w:after="240"/>
      </w:pPr>
      <w:r>
        <w:rPr>
          <w:sz w:val="22"/>
        </w:rPr>
        <w:t xml:space="preserve">• Python 3.x — primary programming language</w:t>
      </w:r>
    </w:p>
    <w:p w14:paraId="00100366" w14:textId="00100367">
      <w:pPr>
        <w:spacing w:after="240"/>
      </w:pPr>
      <w:r>
        <w:rPr>
          <w:sz w:val="22"/>
        </w:rPr>
        <w:t xml:space="preserve">• Pandas — data loading, manipulation, missing value handling, groupby analysis</w:t>
      </w:r>
    </w:p>
    <w:p w14:paraId="00100368" w14:textId="00100369">
      <w:pPr>
        <w:spacing w:after="240"/>
      </w:pPr>
      <w:r>
        <w:rPr>
          <w:sz w:val="22"/>
        </w:rPr>
        <w:t xml:space="preserve">• NumPy — numeric operations, NaN handling, array operations</w:t>
      </w:r>
    </w:p>
    <w:p w14:paraId="0010036A" w14:textId="0010036B">
      <w:pPr>
        <w:spacing w:after="240"/>
      </w:pPr>
      <w:r>
        <w:rPr>
          <w:sz w:val="22"/>
        </w:rPr>
        <w:t xml:space="preserve">• Matplotlib — chart generation and PNG export</w:t>
      </w:r>
    </w:p>
    <w:p w14:paraId="0010036C" w14:textId="0010036D">
      <w:pPr>
        <w:spacing w:after="240"/>
      </w:pPr>
      <w:r>
        <w:rPr>
          <w:sz w:val="22"/>
        </w:rPr>
        <w:t xml:space="preserve">• Seaborn — statistical visualization (histplot, boxplot, heatmap, barplot)</w:t>
      </w:r>
    </w:p>
    <w:p w14:paraId="0010036E" w14:textId="0010036F">
      <w:pPr>
        <w:spacing w:after="240"/>
      </w:pPr>
      <w:r>
        <w:rPr>
          <w:sz w:val="22"/>
        </w:rPr>
        <w:t xml:space="preserve">• re (Python standard library) — regular expression parsing of Raw_Weight field</w:t>
      </w:r>
    </w:p>
    <w:p w14:paraId="00100370" w14:textId="00100371">
      <w:pPr>
        <w:spacing w:after="240"/>
      </w:pPr>
      <w:r>
        <w:rPr>
          <w:sz w:val="22"/>
        </w:rPr>
        <w:t xml:space="preserve">• Jupyter Notebook — interactive development and presentation environment</w:t>
      </w:r>
    </w:p>
    <w:p w14:paraId="00100372" w14:textId="00100373">
      <w:pPr>
        <w:spacing w:after="240"/>
      </w:pPr>
      <w:r>
        <w:rPr>
          <w:sz w:val="22"/>
        </w:rPr>
        <w:t xml:space="preserve">• nbconvert — notebook execution and export</w:t>
      </w:r>
    </w:p>
    <w:p w14:paraId="00100374" w14:textId="00100375">
      <w:pPr>
        <w:spacing w:after="240"/>
      </w:pPr>
      <w:r>
        <w:rPr>
          <w:sz w:val="22"/>
        </w:rPr>
        <w:t xml:space="preserve">• collections.Counter / defaultdict — brand variant grouping and frequency analysis</w:t>
      </w:r>
    </w:p>
    <w:p w14:paraId="00100376" w14:textId="00100377">
      <w:pPr>
        <w:pStyle w:val="Heading1"/>
        <w:spacing w:after="160"/>
      </w:pPr>
      <w:r>
        <w:rPr>
          <w:b/>
          <w:sz w:val="32"/>
        </w:rPr>
        <w:t xml:space="preserve">22. References</w:t>
      </w:r>
    </w:p>
    <w:p w14:paraId="00100378" w14:textId="00100379">
      <w:pPr>
        <w:spacing w:after="240"/>
      </w:pPr>
      <w:r>
        <w:rPr>
          <w:sz w:val="22"/>
        </w:rPr>
        <w:t xml:space="preserve">1. nudratabbas (2024). Real-World Retail Data for Data Cleaning (Easy). Kaggle. https://www.kaggle.com/datasets/nudratabbas/real-world-retail-data-for-data-cleaning-easy</w:t>
      </w:r>
    </w:p>
    <w:p w14:paraId="0010037A" w14:textId="0010037B">
      <w:pPr>
        <w:spacing w:after="240"/>
      </w:pPr>
      <w:r>
        <w:rPr>
          <w:sz w:val="22"/>
        </w:rPr>
        <w:t xml:space="preserve"/>
      </w:r>
    </w:p>
    <w:p w14:paraId="0010037C" w14:textId="0010037D">
      <w:pPr>
        <w:spacing w:after="240"/>
      </w:pPr>
      <w:r>
        <w:rPr>
          <w:sz w:val="22"/>
        </w:rPr>
        <w:t xml:space="preserve">2. McKinney, W. (2017). Python for Data Analysis (2nd ed.). O'Reilly Media.</w:t>
      </w:r>
    </w:p>
    <w:p w14:paraId="0010037E" w14:textId="0010037F">
      <w:pPr>
        <w:spacing w:after="240"/>
      </w:pPr>
      <w:r>
        <w:rPr>
          <w:sz w:val="22"/>
        </w:rPr>
        <w:t xml:space="preserve"/>
      </w:r>
    </w:p>
    <w:p w14:paraId="00100380" w14:textId="00100381">
      <w:pPr>
        <w:spacing w:after="240"/>
      </w:pPr>
      <w:r>
        <w:rPr>
          <w:sz w:val="22"/>
        </w:rPr>
        <w:t xml:space="preserve">3. VanderPlas, J. (2016). Python Data Science Handbook. O'Reilly Media.</w:t>
      </w:r>
    </w:p>
    <w:p w14:paraId="00100382" w14:textId="00100383">
      <w:pPr>
        <w:spacing w:after="240"/>
      </w:pPr>
      <w:r>
        <w:rPr>
          <w:sz w:val="22"/>
        </w:rPr>
        <w:t xml:space="preserve"/>
      </w:r>
    </w:p>
    <w:p w14:paraId="00100384" w14:textId="00100385">
      <w:pPr>
        <w:spacing w:after="240"/>
      </w:pPr>
      <w:r>
        <w:rPr>
          <w:sz w:val="22"/>
        </w:rPr>
        <w:t xml:space="preserve">4. Pandas Development Team (2024). Pandas Documentation. https://pandas.pydata.org/docs/</w:t>
      </w:r>
    </w:p>
    <w:p w14:paraId="00100386" w14:textId="00100387">
      <w:pPr>
        <w:spacing w:after="240"/>
      </w:pPr>
      <w:r>
        <w:rPr>
          <w:sz w:val="22"/>
        </w:rPr>
        <w:t xml:space="preserve"/>
      </w:r>
    </w:p>
    <w:p w14:paraId="00100388" w14:textId="00100389">
      <w:pPr>
        <w:spacing w:after="240"/>
      </w:pPr>
      <w:r>
        <w:rPr>
          <w:sz w:val="22"/>
        </w:rPr>
        <w:t xml:space="preserve">5. Matplotlib Development Team (2024). Matplotlib Documentation. https://matplotlib.org/</w:t>
      </w:r>
    </w:p>
    <w:p w14:paraId="0010038A" w14:textId="0010038B">
      <w:pPr>
        <w:spacing w:after="240"/>
      </w:pPr>
      <w:r>
        <w:rPr>
          <w:sz w:val="22"/>
        </w:rPr>
        <w:t xml:space="preserve"/>
      </w:r>
    </w:p>
    <w:p w14:paraId="0010038C" w14:textId="0010038D">
      <w:pPr>
        <w:spacing w:after="240"/>
      </w:pPr>
      <w:r>
        <w:rPr>
          <w:sz w:val="22"/>
        </w:rPr>
        <w:t xml:space="preserve">6. Seaborn Development Team (2024). Seaborn Statistical Data Visualization. https://seaborn.pydata.org/</w:t>
      </w:r>
    </w:p>
    <w:p w14:paraId="0010038E" w14:textId="0010038F">
      <w:pPr>
        <w:spacing w:after="240"/>
      </w:pPr>
      <w:r>
        <w:rPr>
          <w:sz w:val="22"/>
        </w:rPr>
        <w:t xml:space="preserve"/>
      </w:r>
    </w:p>
    <w:p w14:paraId="00100390" w14:textId="00100391">
      <w:pPr>
        <w:spacing w:after="240"/>
      </w:pPr>
      <w:r>
        <w:rPr>
          <w:sz w:val="22"/>
        </w:rPr>
        <w:t xml:space="preserve">7. IBM SkillsBuild (2024). Data Analytics with AI Program — Academic Internship 2026. https://skillsbuild.org/</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c746811d84e5429d" /><Relationship Type="http://schemas.openxmlformats.org/officeDocument/2006/relationships/styles" Target="/word/styles.xml" Id="Rb7ee6db695a2495b" /><Relationship Type="http://schemas.openxmlformats.org/officeDocument/2006/relationships/theme" Target="/word/theme/theme1.xml" Id="R123b433334bb44ef" /><Relationship Type="http://schemas.openxmlformats.org/officeDocument/2006/relationships/numbering" Target="/word/numbering.xml" Id="Ra117182c49aa48c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2026-09-22T06:12:02Z</dcterms:created>
  <cp:lastModifiedBy>OfficeCLI</cp:lastModifiedBy>
  <dcterms:modified xsi:type="dcterms:W3CDTF">2026-09-22T06:12:02Z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2026-09-22T06:12:29Z</vt:lpwstr>
  </op:property>
</op:Properties>
</file>