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</w:pPr>
      <w:r>
        <w:rPr>
          <w:b/>
          <w:color w:val="1A365D"/>
          <w:sz w:val="52"/>
        </w:rPr>
        <w:t>PRODUCT REQUIREMENT DOCUMENT</w:t>
      </w:r>
    </w:p>
    <w:p>
      <w:pPr>
        <w:spacing w:after="4000"/>
      </w:pPr>
      <w:r>
        <w:rPr>
          <w:color w:val="2B6CB0"/>
          <w:sz w:val="28"/>
        </w:rPr>
        <w:t>AI-Powered Thermal Power Plant Monitoring &amp; Fault Detection Platform</w:t>
        <w:br/>
        <w:t>Tailored for Antigravity Development Execution (Updated)</w:t>
      </w:r>
    </w:p>
    <w:p>
      <w:pPr>
        <w:spacing w:line="312" w:lineRule="auto"/>
      </w:pPr>
      <w:r>
        <w:rPr>
          <w:color w:val="2D3748"/>
          <w:sz w:val="20"/>
        </w:rPr>
        <w:t>Prepared For: Antigravity Engineering Team</w:t>
        <w:br/>
        <w:t>Document Version: 1.1</w:t>
        <w:br/>
        <w:t>Target Deployment Window: 6-Week Iteration</w:t>
        <w:br/>
        <w:t>Confidentiality: Internal Engineering Spec</w:t>
      </w:r>
    </w:p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6"/>
        </w:rPr>
        <w:t>1. Executive Summary &amp; UI Framework</w:t>
      </w:r>
    </w:p>
    <w:p>
      <w:pPr>
        <w:spacing w:after="80" w:line="276" w:lineRule="auto"/>
      </w:pPr>
      <w:r>
        <w:rPr>
          <w:color w:val="2D3748"/>
        </w:rPr>
        <w:t>This Product Requirement Document (PRD) outlines the detailed engineering and UI/UX design components for a centralized, web-based Thermal Power Plant Monitoring and Fault Detection platform. The interface structure adheres to a dashboard split-pane grid methodology designed for extreme operational transparency, low sensory fatigue, and continuous asset visibility.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1.1 Visual Layout Strategy</w:t>
      </w:r>
    </w:p>
    <w:p>
      <w:pPr>
        <w:spacing w:after="80" w:line="276" w:lineRule="auto"/>
      </w:pPr>
      <w:r>
        <w:rPr>
          <w:color w:val="2D3748"/>
        </w:rPr>
        <w:t>Taking direct structural cues from established, high-density dashboard architectures (e.g., standard enterprise single-screen bank-grade frameworks), the interface breaks out into two unyielding layout pillars:</w:t>
      </w:r>
    </w:p>
    <w:p>
      <w:pPr>
        <w:pStyle w:val="ListBullet"/>
        <w:spacing w:after="60" w:line="276" w:lineRule="auto"/>
      </w:pPr>
      <w:r>
        <w:rPr>
          <w:b/>
        </w:rPr>
        <w:t xml:space="preserve">Fixed Navigation Sidebar: </w:t>
      </w:r>
      <w:r>
        <w:t>Positioned on the absolute left margin of the screen canvas. Utilizes a deep dark profile to isolate navigation controls from analytics viewports. The top component houses the platform branding followed immediately by unified workspace routing mechanisms.</w:t>
      </w:r>
    </w:p>
    <w:p>
      <w:pPr>
        <w:pStyle w:val="ListBullet"/>
        <w:spacing w:after="60" w:line="276" w:lineRule="auto"/>
      </w:pPr>
      <w:r>
        <w:rPr>
          <w:b/>
        </w:rPr>
        <w:t xml:space="preserve">Dynamic Content Workspace Canvas: </w:t>
      </w:r>
      <w:r>
        <w:t>Occupies the dominant screen real estate on the right side. All operational telemetry, charts, grids, data input tables, and priority management modules render inside this frame inside a scroll-managed window.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6"/>
        </w:rPr>
        <w:t>2. Authentication &amp; Simulation Control Architecture</w:t>
      </w:r>
    </w:p>
    <w:p>
      <w:pPr>
        <w:spacing w:after="80" w:line="276" w:lineRule="auto"/>
      </w:pPr>
      <w:r>
        <w:rPr>
          <w:color w:val="2D3748"/>
        </w:rPr>
        <w:t>The platform implements a stateless JSON Web Token (JWT) workflow to govern system routing privileges. To accelerate front-end/back-end standalone testing and simplify verification cycles without manual data-seeding blockers, two global validation override buttons are permanently surfaced in the header bar of the client view:</w:t>
      </w:r>
    </w:p>
    <w:p>
      <w:pPr>
        <w:pStyle w:val="ListBullet"/>
        <w:spacing w:after="60" w:line="276" w:lineRule="auto"/>
      </w:pPr>
      <w:r>
        <w:rPr>
          <w:b/>
        </w:rPr>
        <w:t xml:space="preserve">'Log in as Engineer': </w:t>
      </w:r>
      <w:r>
        <w:t>Instantly drops a valid short-lived JWT containing role engineering claims into storage, refreshing the sidebar layout with specific machine diagnostic tool access.</w:t>
      </w:r>
    </w:p>
    <w:p>
      <w:pPr>
        <w:pStyle w:val="ListBullet"/>
        <w:spacing w:after="60" w:line="276" w:lineRule="auto"/>
      </w:pPr>
      <w:r>
        <w:rPr>
          <w:b/>
        </w:rPr>
        <w:t xml:space="preserve">'Log in as Admin': </w:t>
      </w:r>
      <w:r>
        <w:t>Instantly injects an administrative JWT token structure, unlocking global asset configuration matrices, team permissions management, and authorization write privileges across request pipelines.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2.1 Explicit Seeded Dummy Credentials</w:t>
      </w:r>
    </w:p>
    <w:p>
      <w:pPr>
        <w:spacing w:after="80" w:line="276" w:lineRule="auto"/>
      </w:pPr>
      <w:r>
        <w:rPr>
          <w:color w:val="2D3748"/>
        </w:rPr>
        <w:t>The simulation and authentication endpoints must recognize and accept the following seeded testing credentials to generate matching JWT payloads:</w:t>
      </w:r>
    </w:p>
    <w:p>
      <w:pPr>
        <w:pStyle w:val="ListBullet"/>
        <w:spacing w:after="60" w:line="276" w:lineRule="auto"/>
      </w:pPr>
      <w:r>
        <w:rPr>
          <w:b/>
        </w:rPr>
        <w:t xml:space="preserve">Engineer Baseline Profile: </w:t>
      </w:r>
      <w:r>
        <w:t>Email: dummyengg@gmail.com | Password: enggpass</w:t>
      </w:r>
    </w:p>
    <w:p>
      <w:pPr>
        <w:pStyle w:val="ListBullet"/>
        <w:spacing w:after="60" w:line="276" w:lineRule="auto"/>
      </w:pPr>
      <w:r>
        <w:rPr>
          <w:b/>
        </w:rPr>
        <w:t xml:space="preserve">Admin Baseline Profile: </w:t>
      </w:r>
      <w:r>
        <w:t>Email: dummyadmin@gmail.com | Password: adminpassword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b/>
                <w:color w:val="1A365D"/>
                <w:sz w:val="21"/>
              </w:rPr>
              <w:t>CRITICAL AUTHENTICATION SECURITY REGIME</w:t>
              <w:br/>
            </w:r>
            <w:r>
              <w:rPr>
                <w:i/>
                <w:sz w:val="20"/>
              </w:rPr>
              <w:t>Security Governance Implementation Notice:</w:t>
              <w:br/>
              <w:t>All data-mutating endpoints exposed by the FastAPI/Flask backend service layer must explicitly fetch the incoming authorization payload header ('Authorization: Bearer &lt;token&gt;') and run middleware verification to prevent role-spoofing or privilege escalation vulnerabilities.</w:t>
            </w:r>
          </w:p>
        </w:tc>
      </w:tr>
    </w:tbl>
    <w:p>
      <w:pPr>
        <w:spacing w:after="40"/>
      </w:pP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6"/>
        </w:rPr>
        <w:t>3. Core Workspace &amp; Sidebar Navigation Structure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3.1 Initial Seeding Conditions (System Boot)</w:t>
      </w:r>
    </w:p>
    <w:p>
      <w:pPr>
        <w:spacing w:after="80" w:line="276" w:lineRule="auto"/>
      </w:pPr>
      <w:r>
        <w:rPr>
          <w:color w:val="2D3748"/>
        </w:rPr>
        <w:t>Upon database structural initialization and execution of the base seeding migrations, the persistence layer must hardcode two parent plant environments with an optimal, unblemished structural health status:</w:t>
      </w:r>
    </w:p>
    <w:p>
      <w:pPr>
        <w:pStyle w:val="ListBullet"/>
        <w:spacing w:after="60" w:line="276" w:lineRule="auto"/>
      </w:pPr>
      <w:r>
        <w:rPr>
          <w:b/>
        </w:rPr>
        <w:t xml:space="preserve">Ahmedabad Power Plant: </w:t>
      </w:r>
      <w:r>
        <w:t>Initialized with 10 production units. Faulty Units Baseline counter set to 0.</w:t>
      </w:r>
    </w:p>
    <w:p>
      <w:pPr>
        <w:pStyle w:val="ListBullet"/>
        <w:spacing w:after="60" w:line="276" w:lineRule="auto"/>
      </w:pPr>
      <w:r>
        <w:rPr>
          <w:b/>
        </w:rPr>
        <w:t xml:space="preserve">Godda Power Plant: </w:t>
      </w:r>
      <w:r>
        <w:t>Initialized with 10 production units. Faulty Units Baseline counter set to 0.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3.2 Dynamic Conditional States Matrix</w:t>
      </w:r>
    </w:p>
    <w:p>
      <w:pPr>
        <w:spacing w:after="80" w:line="276" w:lineRule="auto"/>
      </w:pPr>
      <w:r>
        <w:rPr>
          <w:color w:val="2D3748"/>
        </w:rPr>
        <w:t>The visibility layer on the left navigation sidebar shifts configurations dynamically following role token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3600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r>
              <w:rPr>
                <w:b/>
                <w:color w:val="FFFFFF"/>
                <w:sz w:val="20"/>
              </w:rPr>
              <w:t>Sidebar Navigation Element</w:t>
            </w:r>
          </w:p>
        </w:tc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r>
              <w:rPr>
                <w:b/>
                <w:color w:val="FFFFFF"/>
                <w:sz w:val="20"/>
              </w:rPr>
              <w:t>Guest View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r>
              <w:rPr>
                <w:b/>
                <w:color w:val="FFFFFF"/>
                <w:sz w:val="20"/>
              </w:rPr>
              <w:t>Engineer View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1A365D"/>
          </w:tcPr>
          <w:p>
            <w:r>
              <w:rPr>
                <w:b/>
                <w:color w:val="FFFFFF"/>
                <w:sz w:val="20"/>
              </w:rPr>
              <w:t>Admin View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Home (Global Dashboard)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Ahmedabad Power Plant (Isolated Metrics)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Godda Power Plant (Isolated Metrics)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Dynamically Appended Plants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Fault Detection (AI Interface)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HIDDEN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HIDDEN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Raised Requests (Central Hub)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HIDDEN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 (Read)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 (Full Write)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Add / Remove Plants Control Panel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HIDDEN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HIDDEN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Add / Remove Units Control Panel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HIDDEN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HIDDEN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7FAFC"/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</w:tr>
      <w:tr>
        <w:trPr>
          <w:cantSplit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Add / Remove Engineer Control Panel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HIDDEN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HIDDEN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none"/>
              <w:bottom w:val="single" w:sz="4" w:space="0" w:color="CBD5E0"/>
              <w:right w:val="none"/>
            </w:tcBorders>
          </w:tcPr>
          <w:p>
            <w:r>
              <w:rPr>
                <w:color w:val="2D3748"/>
                <w:sz w:val="19"/>
              </w:rPr>
              <w:t>VIEWABLE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1A365D"/>
          <w:sz w:val="36"/>
        </w:rPr>
        <w:t>4. Detailed Functional Specifications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4.1 Tier-1 Views: Dashboard Analytics Layouts</w:t>
      </w:r>
    </w:p>
    <w:p>
      <w:pPr>
        <w:keepNext/>
        <w:spacing w:before="160" w:after="40"/>
      </w:pPr>
      <w:r>
        <w:rPr>
          <w:rFonts w:ascii="Arial" w:hAnsi="Arial"/>
          <w:b/>
          <w:i/>
          <w:color w:val="2D3748"/>
          <w:sz w:val="22"/>
        </w:rPr>
        <w:t>4.1.1 Home View (Global Dashboard Perspective)</w:t>
      </w:r>
    </w:p>
    <w:p>
      <w:pPr>
        <w:spacing w:after="80" w:line="276" w:lineRule="auto"/>
      </w:pPr>
      <w:r>
        <w:rPr>
          <w:color w:val="2D3748"/>
        </w:rPr>
        <w:t>The standard view presents a high-level summary of all physical assets under monitoring. It contains isolated KPI summary indicator boxes layered horizontally above standard telemetry charts:</w:t>
      </w:r>
    </w:p>
    <w:p>
      <w:pPr>
        <w:pStyle w:val="ListBullet"/>
        <w:spacing w:after="60" w:line="276" w:lineRule="auto"/>
      </w:pPr>
      <w:r>
        <w:rPr>
          <w:b/>
        </w:rPr>
        <w:t xml:space="preserve">Unauthenticated Base State Indicators: </w:t>
      </w:r>
      <w:r>
        <w:t>Displays total aggregated plants (starts at 2), combined installation unit metrics (starts at 20), active faulty units running counts (starts at 0), and real-time net generated generation capacity curves.</w:t>
      </w:r>
    </w:p>
    <w:p>
      <w:pPr>
        <w:pStyle w:val="ListBullet"/>
        <w:spacing w:after="60" w:line="276" w:lineRule="auto"/>
      </w:pPr>
      <w:r>
        <w:rPr>
          <w:b/>
        </w:rPr>
        <w:t xml:space="preserve">Authenticated Structural Delta: </w:t>
      </w:r>
      <w:r>
        <w:t>Upon validation of an Admin or Engineer JWT context, a secondary analytical chart container ('Total System Requests Tracker') mounts onto the interface.</w:t>
      </w:r>
    </w:p>
    <w:p>
      <w:pPr>
        <w:keepNext/>
        <w:spacing w:before="160" w:after="40"/>
      </w:pPr>
      <w:r>
        <w:rPr>
          <w:rFonts w:ascii="Arial" w:hAnsi="Arial"/>
          <w:b/>
          <w:i/>
          <w:color w:val="2D3748"/>
          <w:sz w:val="22"/>
        </w:rPr>
        <w:t>4.1.2 Plant-Specific View Frames</w:t>
      </w:r>
    </w:p>
    <w:p>
      <w:pPr>
        <w:spacing w:after="80" w:line="276" w:lineRule="auto"/>
      </w:pPr>
      <w:r>
        <w:rPr>
          <w:color w:val="2D3748"/>
        </w:rPr>
        <w:t>Clicking individual plant layout paths (e.g., Ahmedabad Power Plant) shifts the context canvas window into a localized monitoring profile. The viewport displays localized operating unit volumes, localized fault counters, and historical fuel/power outputs. Similar to the global view, authentication immediately appends an active request trend indicator card linked strictly to that plant's database id.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4.2 Tier-2 View: AI Turbine Fault Detection Module (Engineer Exclusive)</w:t>
      </w:r>
    </w:p>
    <w:p>
      <w:pPr>
        <w:spacing w:after="80" w:line="276" w:lineRule="auto"/>
      </w:pPr>
      <w:r>
        <w:rPr>
          <w:color w:val="2D3748"/>
        </w:rPr>
        <w:t>This workflow provides engineers with access to a diagnostic machine learning verification portal. It contains data entry forms to run operational simulations against an inspection pipeline.</w:t>
      </w:r>
    </w:p>
    <w:p>
      <w:pPr>
        <w:pStyle w:val="ListBullet"/>
        <w:spacing w:after="60" w:line="276" w:lineRule="auto"/>
      </w:pPr>
      <w:r>
        <w:rPr>
          <w:b/>
        </w:rPr>
        <w:t xml:space="preserve">Scope Specification Inputs: </w:t>
      </w:r>
      <w:r>
        <w:t>A structural combo-box selector populated with currently active plant records, paired with a numeric field to isolate the physical target unit identifier.</w:t>
      </w:r>
    </w:p>
    <w:p>
      <w:pPr>
        <w:pStyle w:val="ListBullet"/>
        <w:spacing w:after="60" w:line="276" w:lineRule="auto"/>
      </w:pPr>
      <w:r>
        <w:rPr>
          <w:b/>
        </w:rPr>
        <w:t xml:space="preserve">Operating Metrics Forms: </w:t>
      </w:r>
      <w:r>
        <w:t>Numeric entry inputs for operational metrics, including Turbine RPM, Steam Temperature, and Pressure thresholds.</w:t>
      </w:r>
    </w:p>
    <w:p>
      <w:pPr>
        <w:keepNext/>
        <w:spacing w:before="160" w:after="40"/>
      </w:pPr>
      <w:r>
        <w:rPr>
          <w:rFonts w:ascii="Arial" w:hAnsi="Arial"/>
          <w:b/>
          <w:i/>
          <w:color w:val="2D3748"/>
          <w:sz w:val="22"/>
        </w:rPr>
        <w:t>4.2.1 Core ML Invalidation &amp; State Update Engine</w:t>
      </w:r>
    </w:p>
    <w:p>
      <w:pPr>
        <w:spacing w:after="80" w:line="276" w:lineRule="auto"/>
      </w:pPr>
      <w:r>
        <w:rPr>
          <w:color w:val="2D3748"/>
        </w:rPr>
        <w:t>Clicking the 'Execute Diagnostics' control serializes the payload structure and posts it to the analytical engine. The API response contract must return two metrics: confidence_score (Float [0.00, 100.00]) and problem_class (String token, e.g., 'Normal', 'Blade Deformation').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b/>
                <w:color w:val="1A365D"/>
                <w:sz w:val="21"/>
              </w:rPr>
              <w:t>AUTOMATED PROPAGATION PIPELINE BLOCK</w:t>
              <w:br/>
            </w:r>
            <w:r>
              <w:rPr>
                <w:i/>
                <w:sz w:val="20"/>
              </w:rPr>
              <w:t>Condition Ruleset:</w:t>
              <w:br/>
              <w:t>IF problem_class != 'Normal' AND confidence_score &gt;= 90.00, the application must immediately increment the 'Faulty Units' column count by +1 globally and update the localized metrics for that specific plant across the UI.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rFonts w:ascii="Arial" w:hAnsi="Arial"/>
          <w:b/>
          <w:i/>
          <w:color w:val="2D3748"/>
          <w:sz w:val="22"/>
        </w:rPr>
        <w:t>4.2.2 'Raise Request' Action Pipeline</w:t>
      </w:r>
    </w:p>
    <w:p>
      <w:pPr>
        <w:spacing w:after="80" w:line="276" w:lineRule="auto"/>
      </w:pPr>
      <w:r>
        <w:rPr>
          <w:color w:val="2D3748"/>
        </w:rPr>
        <w:t>If a unit reports an operational fault, an engineer can click a high-visibility action control labeled 'Raise Request'. This opens a confirmation prompt overlay displaying a single dropdown control with three strict priorities: [Low, Medium, High]. Submitting this form creates a database record and triggers an async SMTP backend execution worker that compiles and sends all asset telemetry, plant names, unit numbers, and diagnostic values to the administrative mailbox system (dummyadmin@gmail.com).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4.3 Tier-3 View: Centralized Raised Request Hub</w:t>
      </w:r>
    </w:p>
    <w:p>
      <w:pPr>
        <w:spacing w:after="80" w:line="276" w:lineRule="auto"/>
      </w:pPr>
      <w:r>
        <w:rPr>
          <w:color w:val="2D3748"/>
        </w:rPr>
        <w:t>A chronological log interface that aggregates all generated requests across the enterprise.</w:t>
      </w:r>
    </w:p>
    <w:p>
      <w:pPr>
        <w:pStyle w:val="ListBullet"/>
        <w:spacing w:after="60" w:line="276" w:lineRule="auto"/>
      </w:pPr>
      <w:r>
        <w:rPr>
          <w:b/>
        </w:rPr>
        <w:t xml:space="preserve">Sorting Control Architecture: </w:t>
      </w:r>
      <w:r>
        <w:t>The top-right corner of the layout workspace provides a dropdown interface to resort the card elements. Users can sort by 'Raised Request Time' (chronological / reverse) or 'Priority Level' (shifting Critical/High requests to the top of the viewport stack).</w:t>
      </w:r>
    </w:p>
    <w:p>
      <w:pPr>
        <w:pStyle w:val="ListBullet"/>
        <w:spacing w:after="60" w:line="276" w:lineRule="auto"/>
      </w:pPr>
      <w:r>
        <w:rPr>
          <w:b/>
        </w:rPr>
        <w:t xml:space="preserve">Role Restrictions &amp; Admin Mutation Controls: </w:t>
      </w:r>
      <w:r>
        <w:t>Engineers have read-only access to this interface. For Admins, two action buttons are appended to each card element:</w:t>
      </w:r>
    </w:p>
    <w:p>
      <w:pPr>
        <w:pStyle w:val="ListBullet"/>
        <w:spacing w:after="60" w:line="276" w:lineRule="auto"/>
      </w:pPr>
      <w:r>
        <w:rPr>
          <w:b/>
        </w:rPr>
        <w:t xml:space="preserve">- 'Drop Unit': </w:t>
      </w:r>
      <w:r>
        <w:t>Destructive action that permanently drops the failed asset from system tracking configuration. Automatically decrements the Global Asset count by -1 and the Active Faulty count by -1.</w:t>
      </w:r>
    </w:p>
    <w:p>
      <w:pPr>
        <w:pStyle w:val="ListBullet"/>
        <w:spacing w:after="60" w:line="276" w:lineRule="auto"/>
      </w:pPr>
      <w:r>
        <w:rPr>
          <w:b/>
        </w:rPr>
        <w:t xml:space="preserve">- 'Mark Repaired': </w:t>
      </w:r>
      <w:r>
        <w:t>Clears fault state tags from the target asset. Automatically decrements the Faulty Units count by -1 and returns the unit to a normal operating status across all dashboards.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4.4 Tier-4 View: Asset &amp; Team Management Matrix (Admin Exclusive)</w:t>
      </w:r>
    </w:p>
    <w:p>
      <w:pPr>
        <w:spacing w:after="80" w:line="276" w:lineRule="auto"/>
      </w:pPr>
      <w:r>
        <w:rPr>
          <w:color w:val="2D3748"/>
        </w:rPr>
        <w:t>This view gives administrative personnel full command over physical structural topology boundaries and technical team deployment permissions:</w:t>
      </w:r>
    </w:p>
    <w:p>
      <w:pPr>
        <w:pStyle w:val="ListBullet"/>
        <w:spacing w:after="60" w:line="276" w:lineRule="auto"/>
      </w:pPr>
      <w:r>
        <w:rPr>
          <w:b/>
        </w:rPr>
        <w:t xml:space="preserve">Add / Remove Plants Framework: </w:t>
      </w:r>
      <w:r>
        <w:t>Allows creating completely new facilities by specifying a custom plant name, nameplates, and baseline layout units. Submitting appends a routing button to the global sidebar navigation. The remove operation purges structural records from the application shell.</w:t>
      </w:r>
    </w:p>
    <w:p>
      <w:pPr>
        <w:pStyle w:val="ListBullet"/>
        <w:spacing w:after="60" w:line="276" w:lineRule="auto"/>
      </w:pPr>
      <w:r>
        <w:rPr>
          <w:b/>
        </w:rPr>
        <w:t xml:space="preserve">Add / Remove Units Framework: </w:t>
      </w:r>
      <w:r>
        <w:t>Enables scaling specific assets. Admins select an active plant structure from a dropdown menu and can dynamically increment (+1) or decrement (-1) the total unit operational capacity configuration.</w:t>
      </w:r>
    </w:p>
    <w:p>
      <w:pPr>
        <w:pStyle w:val="ListBullet"/>
        <w:spacing w:after="60" w:line="276" w:lineRule="auto"/>
      </w:pPr>
      <w:r>
        <w:rPr>
          <w:b/>
        </w:rPr>
        <w:t xml:space="preserve">Add / Remove Engineer Framework (New Navbar Control): </w:t>
      </w:r>
      <w:r>
        <w:t>Surfaces a management console to handle engineering personnel accounts. Provides text fields to provision new engineer credentials or delete credentials of existing engineers, updating the active user database registry instantly.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36"/>
        </w:rPr>
        <w:t>5. Technical Architecture Hooks &amp; Non-Functional Specifications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5.1 Request Token Lifecycle Validation</w:t>
      </w:r>
    </w:p>
    <w:p>
      <w:pPr>
        <w:spacing w:after="80" w:line="276" w:lineRule="auto"/>
      </w:pPr>
      <w:r>
        <w:rPr>
          <w:b/>
          <w:color w:val="2D3748"/>
        </w:rPr>
        <w:t xml:space="preserve">Header Spec: </w:t>
      </w:r>
      <w:r>
        <w:rPr>
          <w:color w:val="2D3748"/>
        </w:rPr>
        <w:t>Header Spec: The routing architecture utilizes explicit token extraction paradigms to protect asset data. Every state-mutating transaction requires validation of the incoming authentication header against the server framework:</w:t>
      </w:r>
    </w:p>
    <w:p>
      <w:pPr>
        <w:keepNext/>
        <w:spacing w:before="280" w:after="80"/>
      </w:pPr>
      <w:r>
        <w:rPr>
          <w:rFonts w:ascii="Arial" w:hAnsi="Arial"/>
          <w:b/>
          <w:color w:val="2B6CB0"/>
          <w:sz w:val="26"/>
        </w:rPr>
        <w:t>5.2 Future GenAI Chatbot Extensibility Architecture</w:t>
      </w:r>
    </w:p>
    <w:p>
      <w:pPr>
        <w:spacing w:after="80" w:line="276" w:lineRule="auto"/>
      </w:pPr>
      <w:r>
        <w:rPr>
          <w:color w:val="2D3748"/>
        </w:rPr>
        <w:t>Note on Future Extensibility: A conversational Large Language Model (LLM) assistant powered by the Gemini API will be added in a subsequent phase. The current UI layouts must reserve adequate spacing on the right margin of the content canvas to mount a collapsible, floating chat layout panel. Backend routers must maintain modular isolation so that adding LLM streaming orchestration engines does not impact the core dashboard performance.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