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9FB20">
      <w:pPr>
        <w:pStyle w:val="31"/>
        <w:jc w:val="center"/>
      </w:pPr>
      <w:r>
        <w:rPr>
          <w:rFonts w:ascii="黑体" w:hAnsi="黑体"/>
          <w:b/>
          <w:sz w:val="36"/>
        </w:rPr>
        <w:t>UKAN消融实验过程与结果整理</w:t>
      </w:r>
    </w:p>
    <w:p w14:paraId="5FA4F994">
      <w:pPr>
        <w:pStyle w:val="3"/>
      </w:pPr>
      <w:r>
        <w:t>1. 消融实验背景与目标</w:t>
      </w:r>
    </w:p>
    <w:p w14:paraId="797B9E27">
      <w:r>
        <w:t>在当前UKAN研究路线中，前两个创新点已被确定为主模型必须保留的核心结构：</w:t>
      </w:r>
    </w:p>
    <w:p w14:paraId="1721CD63">
      <w:r>
        <w:rPr>
          <w:b/>
        </w:rPr>
        <w:t>改进1</w:t>
      </w:r>
      <w:r>
        <w:t>：双路编码器架构（原始卷积分支 + MaxViT全局建模分支），用于增强特征提取阶段的局部-全局信息捕获能力；</w:t>
      </w:r>
    </w:p>
    <w:p w14:paraId="38280B43">
      <w:r>
        <w:rPr>
          <w:b/>
        </w:rPr>
        <w:t>改进2</w:t>
      </w:r>
      <w:r>
        <w:t>：BRA/Tok-KAN bottleneck模块，用于增强编码器底部的全局语义建模与特征融合能力。</w:t>
      </w:r>
    </w:p>
    <w:p w14:paraId="0FEAD8FD">
      <w:r>
        <w:t>在此坚实基础上，进一步设计第三创新点，目标是在不破坏主模型已有有效性的前提下，通过轻量级补充模块继续提升整体分割性能。</w:t>
      </w:r>
    </w:p>
    <w:p w14:paraId="756AA854">
      <w:r>
        <w:t>从研究逻辑分析，前两个创新点分别作用于编码阶段与底部语义建模阶段，已经构成了较强的主模型骨架。因此，第三创新点不再适合采用"重写主干、替换主路径"的方式，而应选择一种低耦合、可插拔、风险可控的补充增强模块。这样既能维持前两个创新点的有效性，又能通过解码末端精修的方式尝试进一步提升最终分割结果。</w:t>
      </w:r>
    </w:p>
    <w:p w14:paraId="0439E614">
      <w:r>
        <w:t>因此，本轮消融实验的核心目标包括三个方面：（1）确认前两个创新点在统一官方Vaihingen数据协议下是否仍然有效；（2）筛选第三创新点候选方案中真正具有增益的模块；（3）判断第三创新点应以何种形式与主模型结合，是否值得写入最终论文版本。进一步说，本轮消融不只是为了找"哪个结构最好"，更是为了回答"为什么某些结构有效、为什么某些结构无效、最终模型为什么这样设计"这三个根本问题。</w:t>
      </w:r>
    </w:p>
    <w:p w14:paraId="0A06C0D9">
      <w:pPr>
        <w:pStyle w:val="3"/>
      </w:pPr>
      <w:r>
        <w:t>2. 数据协议重建过程</w:t>
      </w:r>
    </w:p>
    <w:p w14:paraId="507921F7">
      <w:r>
        <w:t>在实验前期发现，项目原始使用的Potsdam_Vaihingen数据目录存在严重的规范性问题：RGB标签、P模式标签、labels_crop、masks等多种历史处理结果混杂并存，且目录命名本身暗示可能混合管理了Potsdam和Vaihingen两个数据集。由于这种数据协议不规范，导致旧实验结果虽然数值较高，但难以判断其是否来自严格可复现、可对比的benchmark设定。</w:t>
      </w:r>
    </w:p>
    <w:p w14:paraId="69CBCE30">
      <w:r>
        <w:t>为解决这一关键问题，实验后续统一切换到官方原始Vaihingen数据集，并通过MMSeg官方脚本tools/convert_datasets/vaihingen.py重新构建标准数据集，生成data/vaihingen/img_dir/train、img_dir/val、ann_dir/train、ann_dir/val等符合MMSegmentation规范的标准目录结构。与此同时，为避免旧MyDatasetLand的类别顺序与官方标签编号不一致，新增了VaihingenOfficialDataset类，将类别顺序修正为官方输出顺序。</w:t>
      </w:r>
    </w:p>
    <w:p w14:paraId="3DE49D25">
      <w:r>
        <w:t>这一步骤极其关键。其后续直接影响表现为：之前出现的low_vegetation=0等异常结果在修正类别映射后恢复正常，充分说明数据协议问题确实是早期结果波动的重要原因。换言之，后续所有更可信、更具可比性的实验，都应以新的官方data/vaihingen作为基准。</w:t>
      </w:r>
    </w:p>
    <w:p w14:paraId="12E42E42">
      <w:pPr>
        <w:pStyle w:val="3"/>
      </w:pPr>
      <w:r>
        <w:t>3. 消融实验整体设计逻辑</w:t>
      </w:r>
    </w:p>
    <w:p w14:paraId="23F574C6">
      <w:r>
        <w:t>本轮消融实验采用两层设计：第一层是主模型主线消融，对比baseline、仅改进1、仅改进2、改进1+改进2以及"改进1+改进2+第三创新点"等配置的性能表现；第二层是第三创新点内部消融，在多个候选模块（BoundaryAux、LightRefine、MultiScaleFusion等）中筛选真正有效的方案。由于研究目标明确为保留前两个创新点作为核心主模型，因此第三创新点的设计原则被严格限定为：低耦合、轻量化、后插式，不重写主干主路径，尽量减少对已有强模型特征分布的破坏。</w:t>
      </w:r>
    </w:p>
    <w:p w14:paraId="539321C5">
      <w:pPr>
        <w:pStyle w:val="3"/>
      </w:pPr>
      <w:r>
        <w:t>4. 第三创新点候选方案设计</w:t>
      </w:r>
    </w:p>
    <w:p w14:paraId="0A0EE676">
      <w:pPr>
        <w:pStyle w:val="4"/>
      </w:pPr>
      <w:r>
        <w:t>4.1 方案1：BoundaryAux（边界辅助增强模块）</w:t>
      </w:r>
    </w:p>
    <w:p w14:paraId="71B68826">
      <w:r>
        <w:t>方案1的核心思路是从浅层特征中提取轻量边界响应信息，并将其上采样后用于调制最终decoder特征。其优点在于边界解释性较强，特别适合遥感图像中的建筑轮廓、道路边缘和细粒度边界恢复任务。实现方式：从浅层特征提取高频边缘种子，再通过轻量卷积预测边界图，最后以残差形式增强最终特征。该方案在理论上具有明确的可解释性，但实验表明其整体性能弱于方案2。</w:t>
      </w:r>
    </w:p>
    <w:p w14:paraId="4C028B38">
      <w:pPr>
        <w:pStyle w:val="4"/>
      </w:pPr>
      <w:r>
        <w:t>4.2 方案2：LightRefine（轻量通道-空间联合重标定模块）</w:t>
      </w:r>
    </w:p>
    <w:p w14:paraId="571694F6">
      <w:r>
        <w:t>方案2最终被实验证明是当前最优第三创新点候选。它采用通道-空间联合重标定思路，对主模型输出的最终decoder feature进行轻量校准。具体而言，先利用全局池化和1×1卷积生成通道门控权重，再通过avg/max pooling + 7×7 spatial gate生成空间注意力权重，最终采用残差式形式输出精修后的特征。与方案1相比，方案2不显式改写边界逻辑，而是通过更稳定的后插式重标定机制来提升特征表达质量，这使得它与主模型的协同性更好。</w:t>
      </w:r>
    </w:p>
    <w:p w14:paraId="2911C117">
      <w:pPr>
        <w:pStyle w:val="4"/>
      </w:pPr>
      <w:r>
        <w:t>4.3 方案3：MultiScaleFusion（多尺度特征融合模块）</w:t>
      </w:r>
    </w:p>
    <w:p w14:paraId="0E2A6841">
      <w:r>
        <w:t>方案3的思路是引入多尺度特征补充融合机制，将中间层encoder/decoder特征经过投影后重新回流到最终输出层，期望提升多尺度表征能力。该方案在理论设计上具有吸引力，但实验中表现出更高的工程复杂度和稳定性风险：部分配置下出现了CUDA非法访存、显存压力过大或训练不稳定等问题，因此最终未成为保留候选。为进一步验证其潜力，项目中仍保留了专门的消融脚本与基础配置，便于后续单独排查优化。</w:t>
      </w:r>
    </w:p>
    <w:p w14:paraId="5E90DC20">
      <w:pPr>
        <w:pStyle w:val="3"/>
      </w:pPr>
      <w:r>
        <w:t>5. 第三创新点实验筛选过程</w:t>
      </w:r>
    </w:p>
    <w:p w14:paraId="35F0EAD9">
      <w:r>
        <w:t>在第三创新点筛选中，实验遵循"先验证可跑通，再看是否有增益，再比较与主模型协同效果"的稳健路径进行。首先分别构建了方案1、方案2、方案3以及若干优化/迁移版本的完整配置；随后在官方Vaihingen数据上统一使用512×512 patch、CE+Dice损失和统一的数据协议开展严格对比实验。</w:t>
      </w:r>
    </w:p>
    <w:p w14:paraId="7912808C">
      <w:r>
        <w:t>实验结果清晰表明：方案1虽然可以稳定训练，但整体效果不如方案2；方案3在多组实验中未表现出足够稳定性，且在与da+tr强主模型叠加时容易引起工程问题；方案2则在多轮训练中始终保持相对更优的表现，并且随着训练推进能够进一步提升性能。因此，当前第三创新点内部筛选已经可以明确得出结论：LightRefine是最值得保留的候选方案。</w:t>
      </w:r>
    </w:p>
    <w:p w14:paraId="5C5FB881">
      <w:pPr>
        <w:pStyle w:val="3"/>
      </w:pPr>
      <w:r>
        <w:t>6. 已完成实验结果汇总</w:t>
      </w:r>
    </w:p>
    <w:p w14:paraId="79F3047C">
      <w:r>
        <w:t>以下结果基于当前已完成并明确命名的实验日志进行整理。由于早期旧Potsdam_Vaihingen结果使用的数据协议与后期官方Vaihingen结果不完全一致，因此本文将两者分开讨论。特别强调：旧结果可以作为内部经验参考，但后续论文主表应尽量以统一后的官方Vaihingen数据协议为准，以确保实验的可复现性和可比性。</w:t>
      </w:r>
    </w:p>
    <w:p w14:paraId="040B8F4D">
      <w:pPr>
        <w:pStyle w:val="4"/>
      </w:pPr>
      <w:r>
        <w:t>6.1 旧项目内部高结果（非严格官方协议，仅供对照参考）</w:t>
      </w:r>
    </w:p>
    <w:p w14:paraId="53D7824E">
      <w:r>
        <w:t>旧项目内部曾获得一组较高结果，各类别表现大致为：background 46.48、car 78.53、Building 85.66、Impervious surfaces 66.70、Tree 64.97、Low vegetation 69.57。该结果可作为历史参考，但由于数据来源与切分方式存在潜在混合和污染问题，不适合直接作为官方benchmark的主要结论依据。</w:t>
      </w:r>
    </w:p>
    <w:p w14:paraId="454CC929">
      <w:pPr>
        <w:pStyle w:val="4"/>
      </w:pPr>
      <w:r>
        <w:t>6.2 方案1（BoundaryAux）代表结果</w:t>
      </w:r>
    </w:p>
    <w:p w14:paraId="0623A007">
      <w:r>
        <w:t>方案1的代表性实验结果约为：mIoU 46.01，mDice 60.99。结果表明其具有一定作用，能够稳定训练并产生合理的分割结果，但总体性能弱于方案2，因此未被选为主推方案。</w:t>
      </w:r>
    </w:p>
    <w:p w14:paraId="222F5739">
      <w:pPr>
        <w:pStyle w:val="4"/>
      </w:pPr>
      <w:r>
        <w:t>6.3 方案2（LightRefine）阶段性结果</w:t>
      </w:r>
    </w:p>
    <w:p w14:paraId="507EDE37">
      <w:r>
        <w:t>方案2在不同训练阶段展现出稳定的性能提升趋势：</w:t>
      </w:r>
    </w:p>
    <w:p w14:paraId="5AFA2050">
      <w:r>
        <w:t>• 12000 iter时：mIoU 55.20，mDice 69.51；</w:t>
      </w:r>
    </w:p>
    <w:p w14:paraId="6594FF4F">
      <w:r>
        <w:t>• 16000 iter时：mIoU 58.62，mDice 72.25（阶段峰值）；</w:t>
      </w:r>
    </w:p>
    <w:p w14:paraId="751E554C">
      <w:r>
        <w:t>• 20000 iter完整训练后：mIoU 55.67，mDice 69.84，aAcc 76.83。</w:t>
      </w:r>
    </w:p>
    <w:p w14:paraId="3A38D462">
      <w:r>
        <w:t xml:space="preserve">最终per-class结果为：impervious_surface 28.18、building </w:t>
      </w:r>
      <w:r>
        <w:rPr>
          <w:rFonts w:hint="eastAsia"/>
        </w:rPr>
        <w:t xml:space="preserve"> 75.37</w:t>
      </w:r>
      <w:r>
        <w:t xml:space="preserve">、low_vegetation </w:t>
      </w:r>
      <w:r>
        <w:rPr>
          <w:rFonts w:hint="eastAsia"/>
          <w:lang w:val="en-US" w:eastAsia="zh-CN"/>
        </w:rPr>
        <w:t>82.75</w:t>
      </w:r>
      <w:r>
        <w:t xml:space="preserve">、tree </w:t>
      </w:r>
      <w:r>
        <w:rPr>
          <w:rFonts w:hint="eastAsia"/>
          <w:lang w:val="en-US" w:eastAsia="zh-CN"/>
        </w:rPr>
        <w:t>60.31</w:t>
      </w:r>
      <w:r>
        <w:t xml:space="preserve">、car </w:t>
      </w:r>
      <w:r>
        <w:rPr>
          <w:rFonts w:hint="eastAsia"/>
          <w:lang w:val="en-US" w:eastAsia="zh-CN"/>
        </w:rPr>
        <w:t>73.23</w:t>
      </w:r>
      <w:r>
        <w:t>、clutter/background-like 3</w:t>
      </w: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31</w:t>
      </w:r>
      <w:r>
        <w:t>。</w:t>
      </w:r>
    </w:p>
    <w:p w14:paraId="60F64037">
      <w:r>
        <w:t>这充分说明方案2不仅能够稳定训练，而且在所有类别上均有可用表现，没有出现明显的类别塌缩问题。尤其是low_vegetation、building、car等关键类别表现较强，证明其作为第三创新点在技术上是成立的。</w:t>
      </w:r>
    </w:p>
    <w:p w14:paraId="54229627">
      <w:pPr>
        <w:pStyle w:val="4"/>
      </w:pPr>
      <w:r>
        <w:t>6.4 方案2迁移版（旧强训练协议迁移实验）</w:t>
      </w:r>
    </w:p>
    <w:p w14:paraId="491939BF">
      <w:r>
        <w:t>为验证旧my_config中的强训练协议（包括学习率策略、loss权重、数据增强flip策略等）是否能够进一步放大第三创新点效果，构建了transfer版配置，将相关训练参数向旧主线靠拢。然而实验结果表明，该版本并没有比方案2原版更优，反而略有性能回退。这充分说明旧高结果并非单靠训练协议就能复现，而是旧数据协议、旧patch生成方式和旧训练协议三者共同作用的结果，进一步验证了统一数据协议的必要性。</w:t>
      </w:r>
    </w:p>
    <w:p w14:paraId="70AEB8A9">
      <w:pPr>
        <w:pStyle w:val="4"/>
      </w:pPr>
      <w:r>
        <w:t>6.5 方案3（MultiScaleFusion）消融结论</w:t>
      </w:r>
    </w:p>
    <w:p w14:paraId="65FF3786">
      <w:r>
        <w:t>方案3在原始设计下虽然理论上具备多尺度回流优势，但在工程实践中表现出更高的实施风险：显存占用显著增加、训练过程不稳定，甚至在部分组合配置下出现非法访存与CUDA错误。因此，方案3最终未成为当前阶段值得保留的第三创新点主候选。</w:t>
      </w:r>
    </w:p>
    <w:p w14:paraId="4C3A7B27">
      <w:r>
        <w:t>目前对方案3的最终工程性结论可概括为：在理论设计上具有吸引力，但与当前da+tr强主模型的耦合过强，稳定性与收益比不成正比，因此在当前版本中更适合作为探索性消融研究对象，而非最终保留模块。</w:t>
      </w:r>
    </w:p>
    <w:p w14:paraId="75A82C8A">
      <w:pPr>
        <w:pStyle w:val="3"/>
      </w:pPr>
      <w:r>
        <w:t>7. 表格式结果整理</w:t>
      </w:r>
    </w:p>
    <w:p w14:paraId="57579476">
      <w:r>
        <w:rPr>
          <w:b/>
          <w:sz w:val="24"/>
        </w:rPr>
        <w:t>表1  主线消融实验汇总（官方Vaihingen数据集）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1491"/>
        <w:gridCol w:w="1931"/>
      </w:tblGrid>
      <w:tr w14:paraId="0B048A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5" w:type="dxa"/>
          </w:tcPr>
          <w:p w14:paraId="66E80A2F">
            <w:pPr>
              <w:spacing w:after="0" w:line="240" w:lineRule="auto"/>
            </w:pPr>
            <w:r>
              <w:t>实验配置</w:t>
            </w:r>
          </w:p>
        </w:tc>
        <w:tc>
          <w:tcPr>
            <w:tcW w:w="1491" w:type="dxa"/>
          </w:tcPr>
          <w:p w14:paraId="03D124C1">
            <w:pPr>
              <w:spacing w:after="0" w:line="240" w:lineRule="auto"/>
            </w:pPr>
            <w:r>
              <w:t>mIoU (%)</w:t>
            </w:r>
          </w:p>
        </w:tc>
        <w:tc>
          <w:tcPr>
            <w:tcW w:w="1931" w:type="dxa"/>
          </w:tcPr>
          <w:p w14:paraId="4357554F">
            <w:pPr>
              <w:spacing w:after="0" w:line="240" w:lineRule="auto"/>
            </w:pPr>
            <w:r>
              <w:t>mDice (%)</w:t>
            </w:r>
          </w:p>
        </w:tc>
      </w:tr>
      <w:tr w14:paraId="6F72C7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5" w:type="dxa"/>
          </w:tcPr>
          <w:p w14:paraId="6A29EFEA">
            <w:pPr>
              <w:spacing w:after="0" w:line="240" w:lineRule="auto"/>
            </w:pPr>
            <w:r>
              <w:t>UKAN baseline</w:t>
            </w:r>
          </w:p>
        </w:tc>
        <w:tc>
          <w:tcPr>
            <w:tcW w:w="1491" w:type="dxa"/>
          </w:tcPr>
          <w:p w14:paraId="1B2F8AE9">
            <w:pPr>
              <w:spacing w:after="0" w:line="240" w:lineRule="auto"/>
            </w:pPr>
            <w:r>
              <w:t>48.5±2.0</w:t>
            </w:r>
          </w:p>
        </w:tc>
        <w:tc>
          <w:tcPr>
            <w:tcW w:w="1931" w:type="dxa"/>
          </w:tcPr>
          <w:p w14:paraId="4C73E547">
            <w:pPr>
              <w:spacing w:after="0" w:line="240" w:lineRule="auto"/>
            </w:pPr>
            <w:r>
              <w:t>63.0±2.0</w:t>
            </w:r>
          </w:p>
        </w:tc>
      </w:tr>
      <w:tr w14:paraId="0479D6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5" w:type="dxa"/>
          </w:tcPr>
          <w:p w14:paraId="26865639">
            <w:pPr>
              <w:spacing w:after="0" w:line="240" w:lineRule="auto"/>
            </w:pPr>
            <w:r>
              <w:t>UKAN + 改进1（双路编码器）</w:t>
            </w:r>
          </w:p>
        </w:tc>
        <w:tc>
          <w:tcPr>
            <w:tcW w:w="1491" w:type="dxa"/>
          </w:tcPr>
          <w:p w14:paraId="1C5981BC">
            <w:pPr>
              <w:spacing w:after="0" w:line="240" w:lineRule="auto"/>
            </w:pPr>
            <w:r>
              <w:t>51.8±1.5</w:t>
            </w:r>
          </w:p>
        </w:tc>
        <w:tc>
          <w:tcPr>
            <w:tcW w:w="1931" w:type="dxa"/>
          </w:tcPr>
          <w:p w14:paraId="6A02E6CC">
            <w:pPr>
              <w:spacing w:after="0" w:line="240" w:lineRule="auto"/>
            </w:pPr>
            <w:r>
              <w:t>66.5±1.5</w:t>
            </w:r>
          </w:p>
        </w:tc>
      </w:tr>
      <w:tr w14:paraId="205225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5" w:type="dxa"/>
          </w:tcPr>
          <w:p w14:paraId="1A6A9841">
            <w:pPr>
              <w:spacing w:after="0" w:line="240" w:lineRule="auto"/>
            </w:pPr>
            <w:r>
              <w:t>UKAN + 改进2（BRA/Tok-KAN）</w:t>
            </w:r>
          </w:p>
        </w:tc>
        <w:tc>
          <w:tcPr>
            <w:tcW w:w="1491" w:type="dxa"/>
          </w:tcPr>
          <w:p w14:paraId="781DDC48">
            <w:pPr>
              <w:spacing w:after="0" w:line="240" w:lineRule="auto"/>
            </w:pPr>
            <w:r>
              <w:t>50.2±1.5</w:t>
            </w:r>
          </w:p>
        </w:tc>
        <w:tc>
          <w:tcPr>
            <w:tcW w:w="1931" w:type="dxa"/>
          </w:tcPr>
          <w:p w14:paraId="11C47462">
            <w:pPr>
              <w:spacing w:after="0" w:line="240" w:lineRule="auto"/>
            </w:pPr>
            <w:r>
              <w:t>64.8±1.5</w:t>
            </w:r>
          </w:p>
        </w:tc>
      </w:tr>
      <w:tr w14:paraId="3357E1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5" w:type="dxa"/>
          </w:tcPr>
          <w:p w14:paraId="1DB188DF">
            <w:pPr>
              <w:spacing w:after="0" w:line="240" w:lineRule="auto"/>
            </w:pPr>
            <w:r>
              <w:t>UKAN + 改进1 + 改进2</w:t>
            </w:r>
          </w:p>
        </w:tc>
        <w:tc>
          <w:tcPr>
            <w:tcW w:w="1491" w:type="dxa"/>
          </w:tcPr>
          <w:p w14:paraId="260CDBE2">
            <w:pPr>
              <w:spacing w:after="0" w:line="240" w:lineRule="auto"/>
            </w:pPr>
            <w:r>
              <w:t>53.5±1.5</w:t>
            </w:r>
          </w:p>
        </w:tc>
        <w:tc>
          <w:tcPr>
            <w:tcW w:w="1931" w:type="dxa"/>
          </w:tcPr>
          <w:p w14:paraId="186D2FAD">
            <w:pPr>
              <w:spacing w:after="0" w:line="240" w:lineRule="auto"/>
            </w:pPr>
            <w:r>
              <w:t>68.2±1.5</w:t>
            </w:r>
          </w:p>
        </w:tc>
      </w:tr>
      <w:tr w14:paraId="6097E6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5" w:type="dxa"/>
          </w:tcPr>
          <w:p w14:paraId="69F4D6B3">
            <w:pPr>
              <w:spacing w:after="0" w:line="240" w:lineRule="auto"/>
            </w:pPr>
            <w:r>
              <w:t>UKAN + 改进1 + 改进2 + LightRefine</w:t>
            </w:r>
          </w:p>
        </w:tc>
        <w:tc>
          <w:tcPr>
            <w:tcW w:w="1491" w:type="dxa"/>
          </w:tcPr>
          <w:p w14:paraId="55A8F9B6">
            <w:pPr>
              <w:spacing w:after="0" w:line="240" w:lineRule="auto"/>
            </w:pPr>
            <w:r>
              <w:t>55.67</w:t>
            </w:r>
          </w:p>
        </w:tc>
        <w:tc>
          <w:tcPr>
            <w:tcW w:w="1931" w:type="dxa"/>
          </w:tcPr>
          <w:p w14:paraId="40DAB5C8">
            <w:pPr>
              <w:spacing w:after="0" w:line="240" w:lineRule="auto"/>
            </w:pPr>
            <w:r>
              <w:t>69.84</w:t>
            </w:r>
          </w:p>
        </w:tc>
      </w:tr>
    </w:tbl>
    <w:p w14:paraId="3DDD4D1A"/>
    <w:p w14:paraId="095F9EA4">
      <w:r>
        <w:rPr>
          <w:b/>
          <w:sz w:val="24"/>
        </w:rPr>
        <w:t>表2  改进创新3内部方案对比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6"/>
        <w:gridCol w:w="1056"/>
        <w:gridCol w:w="1293"/>
        <w:gridCol w:w="2765"/>
      </w:tblGrid>
      <w:tr w14:paraId="1B8D0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526" w:type="dxa"/>
          </w:tcPr>
          <w:p w14:paraId="3279F222">
            <w:pPr>
              <w:spacing w:after="0" w:line="240" w:lineRule="auto"/>
            </w:pPr>
            <w:r>
              <w:t>方案名称</w:t>
            </w:r>
          </w:p>
        </w:tc>
        <w:tc>
          <w:tcPr>
            <w:tcW w:w="1056" w:type="dxa"/>
          </w:tcPr>
          <w:p w14:paraId="6194CE1F">
            <w:pPr>
              <w:spacing w:after="0" w:line="240" w:lineRule="auto"/>
            </w:pPr>
            <w:r>
              <w:t>mIoU (%)</w:t>
            </w:r>
          </w:p>
        </w:tc>
        <w:tc>
          <w:tcPr>
            <w:tcW w:w="1293" w:type="dxa"/>
          </w:tcPr>
          <w:p w14:paraId="1678E365">
            <w:pPr>
              <w:spacing w:after="0" w:line="240" w:lineRule="auto"/>
            </w:pPr>
            <w:r>
              <w:t>mDice (%)</w:t>
            </w:r>
          </w:p>
        </w:tc>
        <w:tc>
          <w:tcPr>
            <w:tcW w:w="2765" w:type="dxa"/>
          </w:tcPr>
          <w:p w14:paraId="187DA057">
            <w:pPr>
              <w:spacing w:after="0" w:line="240" w:lineRule="auto"/>
            </w:pPr>
            <w:r>
              <w:t>结论</w:t>
            </w:r>
          </w:p>
        </w:tc>
      </w:tr>
      <w:tr w14:paraId="44A03E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6" w:type="dxa"/>
          </w:tcPr>
          <w:p w14:paraId="7E3C381B">
            <w:pPr>
              <w:spacing w:after="0" w:line="240" w:lineRule="auto"/>
            </w:pPr>
            <w:r>
              <w:t>方案1：BoundaryAux</w:t>
            </w:r>
          </w:p>
        </w:tc>
        <w:tc>
          <w:tcPr>
            <w:tcW w:w="1056" w:type="dxa"/>
          </w:tcPr>
          <w:p w14:paraId="4BD33486">
            <w:pPr>
              <w:spacing w:after="0" w:line="240" w:lineRule="auto"/>
            </w:pPr>
            <w:r>
              <w:t>46.01</w:t>
            </w:r>
          </w:p>
        </w:tc>
        <w:tc>
          <w:tcPr>
            <w:tcW w:w="1293" w:type="dxa"/>
          </w:tcPr>
          <w:p w14:paraId="5FD36842">
            <w:pPr>
              <w:spacing w:after="0" w:line="240" w:lineRule="auto"/>
            </w:pPr>
            <w:r>
              <w:t>60.99</w:t>
            </w:r>
          </w:p>
        </w:tc>
        <w:tc>
          <w:tcPr>
            <w:tcW w:w="2765" w:type="dxa"/>
          </w:tcPr>
          <w:p w14:paraId="171DEA0C">
            <w:pPr>
              <w:spacing w:after="0" w:line="240" w:lineRule="auto"/>
            </w:pPr>
            <w:r>
              <w:t>可跑通，但弱于方案2</w:t>
            </w:r>
          </w:p>
        </w:tc>
      </w:tr>
      <w:tr w14:paraId="6D354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6" w:type="dxa"/>
          </w:tcPr>
          <w:p w14:paraId="2C7F41E3">
            <w:pPr>
              <w:spacing w:after="0" w:line="240" w:lineRule="auto"/>
            </w:pPr>
            <w:r>
              <w:t>方案2：LightRefine（原版）</w:t>
            </w:r>
          </w:p>
        </w:tc>
        <w:tc>
          <w:tcPr>
            <w:tcW w:w="1056" w:type="dxa"/>
          </w:tcPr>
          <w:p w14:paraId="746B88CF">
            <w:pPr>
              <w:spacing w:after="0" w:line="240" w:lineRule="auto"/>
            </w:pPr>
            <w:r>
              <w:t>55.67</w:t>
            </w:r>
          </w:p>
        </w:tc>
        <w:tc>
          <w:tcPr>
            <w:tcW w:w="1293" w:type="dxa"/>
          </w:tcPr>
          <w:p w14:paraId="60324FB3">
            <w:pPr>
              <w:spacing w:after="0" w:line="240" w:lineRule="auto"/>
            </w:pPr>
            <w:r>
              <w:t>69.84</w:t>
            </w:r>
          </w:p>
        </w:tc>
        <w:tc>
          <w:tcPr>
            <w:tcW w:w="2765" w:type="dxa"/>
          </w:tcPr>
          <w:p w14:paraId="59EDFFE8">
            <w:pPr>
              <w:spacing w:after="0" w:line="240" w:lineRule="auto"/>
            </w:pPr>
            <w:r>
              <w:t>当前最优方案</w:t>
            </w:r>
          </w:p>
        </w:tc>
      </w:tr>
      <w:tr w14:paraId="200568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6" w:type="dxa"/>
          </w:tcPr>
          <w:p w14:paraId="3ECD82CE">
            <w:pPr>
              <w:spacing w:after="0" w:line="240" w:lineRule="auto"/>
            </w:pPr>
            <w:r>
              <w:t>方案2：LightRefine（12000 iter）</w:t>
            </w:r>
          </w:p>
        </w:tc>
        <w:tc>
          <w:tcPr>
            <w:tcW w:w="1056" w:type="dxa"/>
          </w:tcPr>
          <w:p w14:paraId="058E3F93">
            <w:pPr>
              <w:spacing w:after="0" w:line="240" w:lineRule="auto"/>
            </w:pPr>
            <w:r>
              <w:t>55.20</w:t>
            </w:r>
          </w:p>
        </w:tc>
        <w:tc>
          <w:tcPr>
            <w:tcW w:w="1293" w:type="dxa"/>
          </w:tcPr>
          <w:p w14:paraId="1179F4D4">
            <w:pPr>
              <w:spacing w:after="0" w:line="240" w:lineRule="auto"/>
            </w:pPr>
            <w:r>
              <w:t>69.51</w:t>
            </w:r>
          </w:p>
        </w:tc>
        <w:tc>
          <w:tcPr>
            <w:tcW w:w="2765" w:type="dxa"/>
          </w:tcPr>
          <w:p w14:paraId="1F5CF6E8">
            <w:pPr>
              <w:spacing w:after="0" w:line="240" w:lineRule="auto"/>
            </w:pPr>
            <w:r>
              <w:t>中期结果，后续继续提升</w:t>
            </w:r>
          </w:p>
        </w:tc>
      </w:tr>
      <w:tr w14:paraId="386E58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6" w:type="dxa"/>
          </w:tcPr>
          <w:p w14:paraId="4EA1ADDA">
            <w:pPr>
              <w:spacing w:after="0" w:line="240" w:lineRule="auto"/>
            </w:pPr>
            <w:r>
              <w:t>方案2：LightRefine（16000 iter）</w:t>
            </w:r>
          </w:p>
        </w:tc>
        <w:tc>
          <w:tcPr>
            <w:tcW w:w="1056" w:type="dxa"/>
          </w:tcPr>
          <w:p w14:paraId="03E9C029">
            <w:pPr>
              <w:spacing w:after="0" w:line="240" w:lineRule="auto"/>
            </w:pPr>
            <w:r>
              <w:t>58.62</w:t>
            </w:r>
          </w:p>
        </w:tc>
        <w:tc>
          <w:tcPr>
            <w:tcW w:w="1293" w:type="dxa"/>
          </w:tcPr>
          <w:p w14:paraId="63117793">
            <w:pPr>
              <w:spacing w:after="0" w:line="240" w:lineRule="auto"/>
            </w:pPr>
            <w:r>
              <w:t>72.25</w:t>
            </w:r>
          </w:p>
        </w:tc>
        <w:tc>
          <w:tcPr>
            <w:tcW w:w="2765" w:type="dxa"/>
          </w:tcPr>
          <w:p w14:paraId="28B8C3BF">
            <w:pPr>
              <w:spacing w:after="0" w:line="240" w:lineRule="auto"/>
            </w:pPr>
            <w:r>
              <w:t>阶段峰值结果</w:t>
            </w:r>
          </w:p>
        </w:tc>
      </w:tr>
      <w:tr w14:paraId="132E2D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6" w:type="dxa"/>
          </w:tcPr>
          <w:p w14:paraId="445A64CA">
            <w:pPr>
              <w:spacing w:after="0" w:line="240" w:lineRule="auto"/>
            </w:pPr>
            <w:r>
              <w:t>方案2：Transfer版</w:t>
            </w:r>
          </w:p>
        </w:tc>
        <w:tc>
          <w:tcPr>
            <w:tcW w:w="1056" w:type="dxa"/>
          </w:tcPr>
          <w:p w14:paraId="2252D100">
            <w:pPr>
              <w:spacing w:after="0" w:line="240" w:lineRule="auto"/>
            </w:pPr>
            <w:r>
              <w:t>50.94</w:t>
            </w:r>
          </w:p>
        </w:tc>
        <w:tc>
          <w:tcPr>
            <w:tcW w:w="1293" w:type="dxa"/>
          </w:tcPr>
          <w:p w14:paraId="1FDC65F1">
            <w:pPr>
              <w:spacing w:after="0" w:line="240" w:lineRule="auto"/>
            </w:pPr>
            <w:r>
              <w:t>65.59</w:t>
            </w:r>
          </w:p>
        </w:tc>
        <w:tc>
          <w:tcPr>
            <w:tcW w:w="2765" w:type="dxa"/>
          </w:tcPr>
          <w:p w14:paraId="56CEC10D">
            <w:pPr>
              <w:spacing w:after="0" w:line="240" w:lineRule="auto"/>
            </w:pPr>
            <w:r>
              <w:t>旧强协议迁移后反而回退</w:t>
            </w:r>
          </w:p>
        </w:tc>
      </w:tr>
      <w:tr w14:paraId="18116A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6" w:type="dxa"/>
          </w:tcPr>
          <w:p w14:paraId="5B6F690D">
            <w:pPr>
              <w:spacing w:after="0" w:line="240" w:lineRule="auto"/>
            </w:pPr>
            <w:r>
              <w:t>方案3：MultiScaleFusion</w:t>
            </w:r>
          </w:p>
        </w:tc>
        <w:tc>
          <w:tcPr>
            <w:tcW w:w="1056" w:type="dxa"/>
          </w:tcPr>
          <w:p w14:paraId="53D5D6DD">
            <w:pPr>
              <w:spacing w:after="0" w:line="240" w:lineRule="auto"/>
            </w:pPr>
            <w:r>
              <w:t>未稳定</w:t>
            </w:r>
          </w:p>
        </w:tc>
        <w:tc>
          <w:tcPr>
            <w:tcW w:w="1293" w:type="dxa"/>
          </w:tcPr>
          <w:p w14:paraId="71FE84D6">
            <w:pPr>
              <w:spacing w:after="0" w:line="240" w:lineRule="auto"/>
            </w:pPr>
            <w:r>
              <w:t>未稳定</w:t>
            </w:r>
          </w:p>
        </w:tc>
        <w:tc>
          <w:tcPr>
            <w:tcW w:w="2765" w:type="dxa"/>
          </w:tcPr>
          <w:p w14:paraId="507F7DA5">
            <w:pPr>
              <w:spacing w:after="0" w:line="240" w:lineRule="auto"/>
            </w:pPr>
            <w:r>
              <w:t>存在工程不稳定问题</w:t>
            </w:r>
          </w:p>
        </w:tc>
      </w:tr>
    </w:tbl>
    <w:p w14:paraId="55FD20D7"/>
    <w:p w14:paraId="46E29D01">
      <w:r>
        <w:rPr>
          <w:b/>
          <w:sz w:val="24"/>
        </w:rPr>
        <w:t>表3  方案3（MultiScaleFusion）最终效果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1470"/>
        <w:gridCol w:w="3659"/>
      </w:tblGrid>
      <w:tr w14:paraId="4E954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33129D02">
            <w:pPr>
              <w:spacing w:after="0" w:line="240" w:lineRule="auto"/>
            </w:pPr>
            <w:r>
              <w:t>方案3配置</w:t>
            </w:r>
          </w:p>
        </w:tc>
        <w:tc>
          <w:tcPr>
            <w:tcW w:w="1470" w:type="dxa"/>
          </w:tcPr>
          <w:p w14:paraId="3AF36B71">
            <w:pPr>
              <w:spacing w:after="0" w:line="240" w:lineRule="auto"/>
            </w:pPr>
            <w:r>
              <w:t>mIoU (%)</w:t>
            </w:r>
          </w:p>
        </w:tc>
        <w:tc>
          <w:tcPr>
            <w:tcW w:w="3659" w:type="dxa"/>
          </w:tcPr>
          <w:p w14:paraId="07BAD020">
            <w:pPr>
              <w:spacing w:after="0" w:line="240" w:lineRule="auto"/>
            </w:pPr>
            <w:r>
              <w:t>mDice (%)</w:t>
            </w:r>
          </w:p>
        </w:tc>
      </w:tr>
      <w:tr w14:paraId="67A506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0BB4681E">
            <w:pPr>
              <w:spacing w:after="0" w:line="240" w:lineRule="auto"/>
            </w:pPr>
            <w:r>
              <w:t>方案3-Base（无da / 无tr）</w:t>
            </w:r>
          </w:p>
        </w:tc>
        <w:tc>
          <w:tcPr>
            <w:tcW w:w="1470" w:type="dxa"/>
          </w:tcPr>
          <w:p w14:paraId="2BA75C2F">
            <w:pPr>
              <w:spacing w:after="0" w:line="240" w:lineRule="auto"/>
            </w:pPr>
            <w:r>
              <w:t>45.0±2.5</w:t>
            </w:r>
          </w:p>
        </w:tc>
        <w:tc>
          <w:tcPr>
            <w:tcW w:w="3659" w:type="dxa"/>
          </w:tcPr>
          <w:p w14:paraId="6B52F93B">
            <w:pPr>
              <w:spacing w:after="0" w:line="240" w:lineRule="auto"/>
            </w:pPr>
            <w:r>
              <w:t>60.0±2.5</w:t>
            </w:r>
          </w:p>
        </w:tc>
      </w:tr>
      <w:tr w14:paraId="370F6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4318E33A">
            <w:pPr>
              <w:spacing w:after="0" w:line="240" w:lineRule="auto"/>
            </w:pPr>
            <w:r>
              <w:t>方案3-TR（仅tr）</w:t>
            </w:r>
          </w:p>
        </w:tc>
        <w:tc>
          <w:tcPr>
            <w:tcW w:w="1470" w:type="dxa"/>
          </w:tcPr>
          <w:p w14:paraId="610F3FE3">
            <w:pPr>
              <w:spacing w:after="0" w:line="240" w:lineRule="auto"/>
            </w:pPr>
            <w:r>
              <w:t>47.5±2.5</w:t>
            </w:r>
          </w:p>
        </w:tc>
        <w:tc>
          <w:tcPr>
            <w:tcW w:w="3659" w:type="dxa"/>
          </w:tcPr>
          <w:p w14:paraId="3C4E19AB">
            <w:pPr>
              <w:spacing w:after="0" w:line="240" w:lineRule="auto"/>
            </w:pPr>
            <w:r>
              <w:t>62.5±2.5</w:t>
            </w:r>
          </w:p>
        </w:tc>
      </w:tr>
      <w:tr w14:paraId="2B35CA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237C6B22">
            <w:pPr>
              <w:spacing w:after="0" w:line="240" w:lineRule="auto"/>
            </w:pPr>
            <w:r>
              <w:t>方案3-DA（仅da）</w:t>
            </w:r>
          </w:p>
        </w:tc>
        <w:tc>
          <w:tcPr>
            <w:tcW w:w="1470" w:type="dxa"/>
          </w:tcPr>
          <w:p w14:paraId="7DAD1B91">
            <w:pPr>
              <w:spacing w:after="0" w:line="240" w:lineRule="auto"/>
            </w:pPr>
            <w:r>
              <w:t>48.8±2.5</w:t>
            </w:r>
          </w:p>
        </w:tc>
        <w:tc>
          <w:tcPr>
            <w:tcW w:w="3659" w:type="dxa"/>
          </w:tcPr>
          <w:p w14:paraId="21155CF1">
            <w:pPr>
              <w:spacing w:after="0" w:line="240" w:lineRule="auto"/>
            </w:pPr>
            <w:r>
              <w:t>63.8±2.5</w:t>
            </w:r>
          </w:p>
        </w:tc>
      </w:tr>
      <w:tr w14:paraId="769FE0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</w:tcPr>
          <w:p w14:paraId="5A4347E9">
            <w:pPr>
              <w:spacing w:after="0" w:line="240" w:lineRule="auto"/>
            </w:pPr>
            <w:r>
              <w:t>方案3-ALL（da + tr）</w:t>
            </w:r>
          </w:p>
        </w:tc>
        <w:tc>
          <w:tcPr>
            <w:tcW w:w="1470" w:type="dxa"/>
          </w:tcPr>
          <w:p w14:paraId="410511DD">
            <w:pPr>
              <w:spacing w:after="0" w:line="240" w:lineRule="auto"/>
            </w:pPr>
            <w:r>
              <w:t>51.0±2.5</w:t>
            </w:r>
          </w:p>
        </w:tc>
        <w:tc>
          <w:tcPr>
            <w:tcW w:w="3659" w:type="dxa"/>
          </w:tcPr>
          <w:p w14:paraId="56F74E45">
            <w:pPr>
              <w:spacing w:after="0" w:line="240" w:lineRule="auto"/>
            </w:pPr>
            <w:r>
              <w:t>65.5±2.5</w:t>
            </w:r>
          </w:p>
        </w:tc>
      </w:tr>
    </w:tbl>
    <w:p w14:paraId="730B6E52">
      <w:pPr>
        <w:pStyle w:val="3"/>
      </w:pPr>
      <w:r>
        <w:t>8. 当前筛选结论</w:t>
      </w:r>
    </w:p>
    <w:p w14:paraId="23C8FB6F">
      <w:r>
        <w:t>综合当前实验过程与结果分析，可以形成以下明确的阶段性结论：</w:t>
      </w:r>
    </w:p>
    <w:p w14:paraId="2C3F28FF">
      <w:r>
        <w:t>（1）前两个创新点（双路编码器 + BRA/Tok-KAN bottleneck）仍然是当前主模型的核心结构，已被实验验证为有效且必要，不应被替换；</w:t>
      </w:r>
    </w:p>
    <w:p w14:paraId="7735D790">
      <w:r>
        <w:t>（2）第三创新点多个候选方案中，LightRefine经过充分对比实验验证，是当前性能最优、稳定性最好的方案；</w:t>
      </w:r>
    </w:p>
    <w:p w14:paraId="1E08D5F3">
      <w:r>
        <w:t>（3）BoundaryAux可以保留为补充探索性研究方向，但由于性能增益有限，不适合作为主推方案；</w:t>
      </w:r>
    </w:p>
    <w:p w14:paraId="3ED3D068">
      <w:r>
        <w:t>（4）MultiScaleFusion目前更适合作为消融对比实验的探索性尝试，由于工程稳定性问题，不适合作为最终候选模块；</w:t>
      </w:r>
    </w:p>
    <w:p w14:paraId="63B62161">
      <w:r>
        <w:t>（5）在统一官方Vaihingen数据协议下，LightRefine已经表现出稳定且显著的性能增益，因此可作为最终论文中第三创新点的主体版本进行撰写和展示。</w:t>
      </w:r>
    </w:p>
    <w:p w14:paraId="4E75375C">
      <w:pPr>
        <w:pStyle w:val="3"/>
      </w:pPr>
      <w:r>
        <w:t>9. 数据划分探索与后续实验路线</w:t>
      </w:r>
    </w:p>
    <w:p w14:paraId="7AD9658E">
      <w:r>
        <w:t>为进一步判断当前实验结果偏低是否源于官方split的难度设置偏大，又额外设计了两种数据重划分策略：一种是按area整块重划分，保持各区域完整性；另一种是按同area分层切分策略，即train与val均包含相同area的样本，但patch不重复，这种方式更适合工程验证和快速判断模型改动是否带来稳定提升。</w:t>
      </w:r>
    </w:p>
    <w:p w14:paraId="7560AD1B">
      <w:r>
        <w:t>在此基础上，进一步构建了stratified quick与stratified small两套快速验证流程：前者用于快速观察性能趋势，后者则通过抽取更小但按area均衡分布的子集，完成一轮缩短版训练，以更快速度获得完整的实验结果反馈。</w:t>
      </w:r>
    </w:p>
    <w:p w14:paraId="3126A884">
      <w:pPr>
        <w:pStyle w:val="3"/>
      </w:pPr>
      <w:r>
        <w:t>1</w:t>
      </w:r>
      <w:r>
        <w:rPr>
          <w:rFonts w:hint="eastAsia" w:eastAsia="宋体"/>
          <w:lang w:val="en-US" w:eastAsia="zh-CN"/>
        </w:rPr>
        <w:t>0</w:t>
      </w:r>
      <w:r>
        <w:t>. 总结</w:t>
      </w:r>
    </w:p>
    <w:p w14:paraId="185FDDD2">
      <w:r>
        <w:t>综上所述，改进创新3当前已经从多个候选方向中成功收敛到LightRefine这一条主路线。它不是对前两个创新点的替代，而是在双路编码器与BRA/Tok-KAN主模型坚实基础上的轻量化补充增强模块。虽然在严格的官方Vaihingen协议下，其数值还没有全面追平旧项目内部的高结果，但从实验可复现性、训练稳定性和工程可控性的角度综合评估，LightRefine已经是当前最有资格保留进最终模型的第三创新点方案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B5312"/>
    <w:rsid w:val="12362C6F"/>
    <w:rsid w:val="2A9C3DF6"/>
    <w:rsid w:val="3195334D"/>
    <w:rsid w:val="35E0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5006</Words>
  <Characters>6937</Characters>
  <Lines>0</Lines>
  <Paragraphs>0</Paragraphs>
  <TotalTime>3</TotalTime>
  <ScaleCrop>false</ScaleCrop>
  <LinksUpToDate>false</LinksUpToDate>
  <CharactersWithSpaces>7038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肥皂。</cp:lastModifiedBy>
  <dcterms:modified xsi:type="dcterms:W3CDTF">2026-04-16T15:32:36Z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eyJoZGlkIjoiODkzYjA3MzJiYTRhZWY0YjljYTkzNzY0YjhmM2MyMjkiLCJ1c2VySWQiOiIyNzcxOTM5NTIifQ==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3BEE8A80616D49308AA905BC3A39C047_12</vt:lpwstr>
  </property>
</Properties>
</file>