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3372" w14:textId="34558E5C" w:rsidR="00A23A2E" w:rsidRPr="00A23A2E" w:rsidRDefault="00A23A2E" w:rsidP="00A23A2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3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Case Discussion </w:t>
      </w:r>
      <w:r w:rsidR="0028248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75495BBA" w14:textId="2D45E462" w:rsidR="00A23A2E" w:rsidRPr="00A23A2E" w:rsidRDefault="00A23A2E" w:rsidP="00A23A2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A2E">
        <w:rPr>
          <w:rFonts w:ascii="Times New Roman" w:eastAsia="Times New Roman" w:hAnsi="Times New Roman" w:cs="Times New Roman"/>
          <w:sz w:val="24"/>
          <w:szCs w:val="24"/>
        </w:rPr>
        <w:t>Examine</w:t>
      </w:r>
      <w:r w:rsidR="0028248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the strategic significance of the acquisition from </w:t>
      </w:r>
      <w:r w:rsidRPr="00A23A2E">
        <w:rPr>
          <w:rFonts w:ascii="Times New Roman" w:eastAsia="Times New Roman" w:hAnsi="Times New Roman" w:cs="Times New Roman"/>
          <w:bCs/>
          <w:sz w:val="24"/>
          <w:szCs w:val="24"/>
        </w:rPr>
        <w:t>Hindustan Unilever Limited’s (HUL)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perspective. What potential motivations—such as market expansion, product portfolio enhancement, or synergy realization—might have driven HUL to acquire </w:t>
      </w:r>
      <w:r w:rsidRPr="00A23A2E">
        <w:rPr>
          <w:rFonts w:ascii="Times New Roman" w:eastAsia="Times New Roman" w:hAnsi="Times New Roman" w:cs="Times New Roman"/>
          <w:bCs/>
          <w:sz w:val="24"/>
          <w:szCs w:val="24"/>
        </w:rPr>
        <w:t>GSK Consumer Healthcare (GSKCH)</w:t>
      </w:r>
      <w:r w:rsidR="002824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0F210" w14:textId="38D5C89F" w:rsidR="00A23A2E" w:rsidRPr="00A23A2E" w:rsidRDefault="00A23A2E" w:rsidP="00A23A2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A2E">
        <w:rPr>
          <w:rFonts w:ascii="Times New Roman" w:eastAsia="Times New Roman" w:hAnsi="Times New Roman" w:cs="Times New Roman"/>
          <w:sz w:val="24"/>
          <w:szCs w:val="24"/>
        </w:rPr>
        <w:t>Evaluate</w:t>
      </w:r>
      <w:r w:rsidR="0028248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23A2E">
        <w:rPr>
          <w:rFonts w:ascii="Times New Roman" w:eastAsia="Times New Roman" w:hAnsi="Times New Roman" w:cs="Times New Roman"/>
          <w:bCs/>
          <w:sz w:val="24"/>
          <w:szCs w:val="24"/>
        </w:rPr>
        <w:t>valuation of GSKCH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using multiple approaches:</w:t>
      </w:r>
    </w:p>
    <w:p w14:paraId="2E6311FA" w14:textId="77777777" w:rsidR="00A23A2E" w:rsidRPr="00A23A2E" w:rsidRDefault="00A23A2E" w:rsidP="00A23A2E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A2E">
        <w:rPr>
          <w:rFonts w:ascii="Times New Roman" w:eastAsia="Times New Roman" w:hAnsi="Times New Roman" w:cs="Times New Roman"/>
          <w:bCs/>
          <w:sz w:val="24"/>
          <w:szCs w:val="24"/>
        </w:rPr>
        <w:t>Discounted Cash Flow (DCF) Method: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Estimate the standalone value of GSKCH (without synergies) and the adjusted value including potential synergy gains.</w:t>
      </w:r>
    </w:p>
    <w:p w14:paraId="29B56635" w14:textId="77777777" w:rsidR="00A23A2E" w:rsidRDefault="00A23A2E" w:rsidP="00A23A2E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A2E">
        <w:rPr>
          <w:rFonts w:ascii="Times New Roman" w:eastAsia="Times New Roman" w:hAnsi="Times New Roman" w:cs="Times New Roman"/>
          <w:bCs/>
          <w:sz w:val="24"/>
          <w:szCs w:val="24"/>
        </w:rPr>
        <w:t>Relative Valuation Approach: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Value GSKCH using comparable company both with and witho</w:t>
      </w:r>
      <w:r>
        <w:rPr>
          <w:rFonts w:ascii="Times New Roman" w:eastAsia="Times New Roman" w:hAnsi="Times New Roman" w:cs="Times New Roman"/>
          <w:sz w:val="24"/>
          <w:szCs w:val="24"/>
        </w:rPr>
        <w:t>ut considering synergy effects.</w:t>
      </w:r>
    </w:p>
    <w:p w14:paraId="2F1ED68C" w14:textId="1B3E55E9" w:rsidR="00A23A2E" w:rsidRPr="00A23A2E" w:rsidRDefault="00A23A2E" w:rsidP="00A23A2E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="0028248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analysis, assess</w:t>
      </w:r>
      <w:r w:rsidR="00282486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whether the </w:t>
      </w:r>
      <w:r w:rsidRPr="00A23A2E">
        <w:rPr>
          <w:rFonts w:ascii="Times New Roman" w:eastAsia="Times New Roman" w:hAnsi="Times New Roman" w:cs="Times New Roman"/>
          <w:bCs/>
          <w:sz w:val="24"/>
          <w:szCs w:val="24"/>
        </w:rPr>
        <w:t>purchase consideration paid by HUL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was justified in the context of this transaction.</w:t>
      </w:r>
    </w:p>
    <w:p w14:paraId="4D1983CA" w14:textId="0BAE4D3D" w:rsidR="00A23A2E" w:rsidRPr="00A23A2E" w:rsidRDefault="00A23A2E" w:rsidP="00A23A2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A2E">
        <w:rPr>
          <w:rFonts w:ascii="Times New Roman" w:eastAsia="Times New Roman" w:hAnsi="Times New Roman" w:cs="Times New Roman"/>
          <w:sz w:val="24"/>
          <w:szCs w:val="24"/>
        </w:rPr>
        <w:t>Explore</w:t>
      </w:r>
      <w:r w:rsidR="0028248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the potential </w:t>
      </w:r>
      <w:r w:rsidRPr="00A23A2E">
        <w:rPr>
          <w:rFonts w:ascii="Times New Roman" w:eastAsia="Times New Roman" w:hAnsi="Times New Roman" w:cs="Times New Roman"/>
          <w:bCs/>
          <w:sz w:val="24"/>
          <w:szCs w:val="24"/>
        </w:rPr>
        <w:t>future opportunities and benefits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arising from this deal. Consider</w:t>
      </w:r>
      <w:r w:rsidR="00282486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A23A2E">
        <w:rPr>
          <w:rFonts w:ascii="Times New Roman" w:eastAsia="Times New Roman" w:hAnsi="Times New Roman" w:cs="Times New Roman"/>
          <w:sz w:val="24"/>
          <w:szCs w:val="24"/>
        </w:rPr>
        <w:t xml:space="preserve"> areas such as integration challenges, expected operational and financial synergies, and the long-term impact on HUL’s competitive position, profitability, and shareholder value.</w:t>
      </w:r>
    </w:p>
    <w:p w14:paraId="66E1A86F" w14:textId="77777777" w:rsidR="007073AE" w:rsidRPr="00A23A2E" w:rsidRDefault="00A23A2E" w:rsidP="00A23A2E">
      <w:pPr>
        <w:spacing w:after="0" w:line="360" w:lineRule="auto"/>
        <w:rPr>
          <w:sz w:val="24"/>
          <w:szCs w:val="24"/>
        </w:rPr>
      </w:pPr>
      <w:r w:rsidRPr="00A23A2E">
        <w:rPr>
          <w:sz w:val="24"/>
          <w:szCs w:val="24"/>
        </w:rPr>
        <w:t xml:space="preserve"> </w:t>
      </w:r>
    </w:p>
    <w:sectPr w:rsidR="007073AE" w:rsidRPr="00A2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E34AD"/>
    <w:multiLevelType w:val="hybridMultilevel"/>
    <w:tmpl w:val="2BE42110"/>
    <w:lvl w:ilvl="0" w:tplc="B5FACECC">
      <w:start w:val="1"/>
      <w:numFmt w:val="decimal"/>
      <w:lvlText w:val="%1."/>
      <w:lvlJc w:val="left"/>
      <w:pPr>
        <w:ind w:left="7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6A53E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DBCE0AB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9BEAE74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4A2115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788FF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6946A3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3028E1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5B52C9D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CC6631"/>
    <w:multiLevelType w:val="multilevel"/>
    <w:tmpl w:val="5ACA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771642">
    <w:abstractNumId w:val="0"/>
  </w:num>
  <w:num w:numId="2" w16cid:durableId="1518815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A2E"/>
    <w:rsid w:val="00282486"/>
    <w:rsid w:val="007073AE"/>
    <w:rsid w:val="00A23A2E"/>
    <w:rsid w:val="00A5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F31635"/>
  <w15:chartTrackingRefBased/>
  <w15:docId w15:val="{F0C1A385-9FA2-4140-8548-7416C69B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3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23A2E"/>
    <w:pPr>
      <w:widowControl w:val="0"/>
      <w:autoSpaceDE w:val="0"/>
      <w:autoSpaceDN w:val="0"/>
      <w:spacing w:after="0" w:line="240" w:lineRule="auto"/>
      <w:ind w:left="719" w:hanging="360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23A2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3A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3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A</dc:creator>
  <cp:keywords/>
  <dc:description/>
  <cp:lastModifiedBy>Kuntal Pyne</cp:lastModifiedBy>
  <cp:revision>3</cp:revision>
  <dcterms:created xsi:type="dcterms:W3CDTF">2025-10-24T09:48:00Z</dcterms:created>
  <dcterms:modified xsi:type="dcterms:W3CDTF">2025-11-06T10:08:00Z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2c7df9f4-f7e7-406e-9a69-a8fd5a7ca82d</vt:lpwstr>
  </property>
</Properties>
</file>