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a79a3789c2e49d0" /><Relationship Type="http://schemas.openxmlformats.org/package/2006/relationships/metadata/core-properties" Target="/docProps/core.xml" Id="R79207035152d4de3" /><Relationship Type="http://schemas.openxmlformats.org/officeDocument/2006/relationships/extended-properties" Target="/docProps/app.xml" Id="R07a068d4b4e04d87" /><Relationship Type="http://schemas.openxmlformats.org/officeDocument/2006/relationships/custom-properties" Target="/docProps/custom.xml" Id="Rf576f9864ab84af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rPr>
        <w:t xml:space="preserve">AI Impact on Jobs &amp; Salaries</w:t>
      </w:r>
    </w:p>
    <w:p w14:paraId="00100002" w14:textId="00100003">
      <w:pPr>
        <w:pStyle w:val="Normal"/>
        <w:spacing w:after="80"/>
        <w:jc w:val="center"/>
      </w:pPr>
      <w:r>
        <w:rPr>
          <w:sz w:val="26"/>
        </w:rPr>
        <w:t xml:space="preserve">Author: Kunta Vinay Kumar</w:t>
      </w:r>
    </w:p>
    <w:p w14:paraId="00100004" w14:textId="00100005">
      <w:pPr>
        <w:pStyle w:val="Normal"/>
        <w:spacing w:after="80"/>
        <w:jc w:val="center"/>
      </w:pPr>
      <w:r>
        <w:rPr>
          <w:sz w:val="22"/>
        </w:rPr>
        <w:t xml:space="preserve">Dataset: AI Jobs Salaries (ai_jobs_salaries_clean.csv)</w:t>
      </w:r>
    </w:p>
    <w:p w14:paraId="00100006" w14:textId="00100007">
      <w:pPr>
        <w:pStyle w:val="Normal"/>
        <w:spacing w:after="480"/>
        <w:jc w:val="center"/>
      </w:pPr>
      <w:r>
        <w:rPr>
          <w:sz w:val="22"/>
        </w:rPr>
        <w:t xml:space="preserve">Tool: Python / Jupyter Notebook</w:t>
      </w:r>
    </w:p>
    <w:p w14:paraId="00100008" w14:textId="00100009">
      <w:pPr>
        <w:pStyle w:val="Heading1"/>
        <w:spacing w:before="0" w:after="160"/>
      </w:pPr>
      <w:r>
        <w:rPr>
          <w:b/>
          <w:sz w:val="32"/>
        </w:rPr>
        <w:t xml:space="preserve">Table of Contents</w:t>
      </w:r>
    </w:p>
    <w:p w14:paraId="0010000A" w14:textId="0010000B">
      <w:pPr>
        <w:pStyle w:val="Normal"/>
        <w:spacing w:after="80"/>
      </w:pPr>
      <w:r>
        <w:rPr>
          <w:sz w:val="22"/>
        </w:rPr>
        <w:t xml:space="preserve">1. Introduction</w:t>
      </w:r>
    </w:p>
    <w:p w14:paraId="0010000C" w14:textId="0010000D">
      <w:pPr>
        <w:pStyle w:val="Normal"/>
        <w:spacing w:after="80"/>
      </w:pPr>
      <w:r>
        <w:rPr>
          <w:sz w:val="22"/>
        </w:rPr>
        <w:t xml:space="preserve">2. Methodology</w:t>
      </w:r>
    </w:p>
    <w:p w14:paraId="0010000E" w14:textId="0010000F">
      <w:pPr>
        <w:pStyle w:val="Normal"/>
        <w:spacing w:after="80"/>
      </w:pPr>
      <w:r>
        <w:rPr>
          <w:sz w:val="22"/>
        </w:rPr>
        <w:t xml:space="preserve">3. Key Findings</w:t>
      </w:r>
    </w:p>
    <w:p w14:paraId="00100010" w14:textId="00100011">
      <w:pPr>
        <w:pStyle w:val="Normal"/>
        <w:spacing w:after="80"/>
      </w:pPr>
      <w:r>
        <w:rPr>
          <w:sz w:val="22"/>
        </w:rPr>
        <w:t xml:space="preserve">4. Conclusion</w:t>
      </w:r>
    </w:p>
    <w:p w14:paraId="00100012" w14:textId="00100013">
      <w:pPr>
        <w:pStyle w:val="Normal"/>
        <w:spacing w:after="480"/>
      </w:pPr>
      <w:r>
        <w:rPr>
          <w:sz w:val="22"/>
        </w:rPr>
        <w:t xml:space="preserve">5. References &amp; Data Sources</w:t>
      </w:r>
    </w:p>
    <w:p w14:paraId="00100014" w14:textId="00100015">
      <w:pPr>
        <w:pStyle w:val="Heading1"/>
        <w:spacing w:before="240" w:after="160"/>
      </w:pPr>
      <w:r>
        <w:rPr>
          <w:b/>
          <w:sz w:val="32"/>
        </w:rPr>
        <w:t xml:space="preserve">1. Introduction</w:t>
      </w:r>
    </w:p>
    <w:p w14:paraId="00100016" w14:textId="00100017">
      <w:pPr>
        <w:pStyle w:val="Normal"/>
        <w:spacing w:after="160"/>
      </w:pPr>
      <w:r>
        <w:rPr>
          <w:sz w:val="22"/>
        </w:rPr>
        <w:t xml:space="preserve">The rapid advancement of generative artificial intelligence (AI) is fundamentally reshaping labour markets across all industries. As AI systems grow more capable, questions about occupational displacement, wage premiums for AI-adjacent skills, and the changing nature of knowledge work have become central concerns for researchers, policymakers, and professionals alike.</w:t>
      </w:r>
    </w:p>
    <w:p w14:paraId="00100018" w14:textId="00100019">
      <w:pPr>
        <w:pStyle w:val="Normal"/>
        <w:spacing w:after="160"/>
      </w:pPr>
      <w:r>
        <w:rPr>
          <w:sz w:val="22"/>
        </w:rPr>
        <w:t xml:space="preserve">This project analyses a cleaned dataset of self-reported AI and data-sector salaries — ai_jobs_salaries_clean.csv — to explore how compensation varies across experience levels, role families, company sizes, and work modes. The analysis is positioned within the broader context established by the Global Index of Occupational Exposure to Generative AI (Gmyrek et al., 2025), which provides ISCO-08-based exposure scores that quantify how susceptible different occupational groups are to generative AI automation. The dataset includes an isco_group_hint column that enables approximate alignment with these exposure scores, situating individual job salaries within the macro-level occupational risk landscape.</w:t>
      </w:r>
    </w:p>
    <w:p w14:paraId="0010001A" w14:textId="0010001B">
      <w:pPr>
        <w:pStyle w:val="Normal"/>
        <w:spacing w:after="160"/>
      </w:pPr>
      <w:r>
        <w:rPr>
          <w:sz w:val="22"/>
        </w:rPr>
        <w:t xml:space="preserve">The central research questions guiding this analysis are: (1) Does seniority translate into a consistent salary premium within AI-adjacent roles? (2) Which role families command the highest average compensation? (3) Does company size or work mode correlate with meaningful salary differences?</w:t>
      </w:r>
    </w:p>
    <w:p w14:paraId="0010001C" w14:textId="0010001D">
      <w:pPr>
        <w:pStyle w:val="Heading1"/>
        <w:spacing w:before="320" w:after="160"/>
      </w:pPr>
      <w:r>
        <w:rPr>
          <w:b/>
          <w:sz w:val="32"/>
        </w:rPr>
        <w:t xml:space="preserve">2. Methodology</w:t>
      </w:r>
    </w:p>
    <w:p w14:paraId="0010001E" w14:textId="0010001F">
      <w:pPr>
        <w:pStyle w:val="Heading2"/>
        <w:spacing w:before="160" w:after="120"/>
      </w:pPr>
      <w:r>
        <w:rPr>
          <w:b/>
          <w:sz w:val="28"/>
        </w:rPr>
        <w:t xml:space="preserve">2.1 Data Sources</w:t>
      </w:r>
    </w:p>
    <w:p w14:paraId="00100020" w14:textId="00100021">
      <w:pPr>
        <w:pStyle w:val="Normal"/>
        <w:spacing w:after="160"/>
      </w:pPr>
      <w:r>
        <w:rPr>
          <w:sz w:val="22"/>
        </w:rPr>
        <w:t xml:space="preserve">The primary dataset is sourced from foorilla/ai-jobs-net-salaries (CC0 1.0 licence), a community-maintained survey repository of AI and data sector salaries. The cleaned version used in this project — ai_jobs_salaries_clean.csv — contains 71,913 rows and 17 columns after upstream processing. Key columns used in this analysis are described below.</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2" w14:textId="00100023">
            <w:r>
              <w:t xml:space="preserve">Column</w:t>
            </w:r>
          </w:p>
        </w:tc>
        <w:tc>
          <w:p w14:paraId="00100024" w14:textId="00100025">
            <w:r>
              <w:t xml:space="preserve">Description</w:t>
            </w:r>
          </w:p>
        </w:tc>
      </w:tr>
      <w:tr>
        <w:trPr/>
        <w:tc>
          <w:p w14:paraId="00100026" w14:textId="00100027">
            <w:r>
              <w:t xml:space="preserve">salary_in_usd</w:t>
            </w:r>
          </w:p>
        </w:tc>
        <w:tc>
          <w:p w14:paraId="00100028" w14:textId="00100029">
            <w:r>
              <w:t xml:space="preserve">Salary converted to USD — primary comparable field across all records</w:t>
            </w:r>
          </w:p>
        </w:tc>
      </w:tr>
      <w:tr>
        <w:trPr/>
        <w:tc>
          <w:p w14:paraId="0010002A" w14:textId="0010002B">
            <w:r>
              <w:t xml:space="preserve">experience_level_label</w:t>
            </w:r>
          </w:p>
        </w:tc>
        <w:tc>
          <w:p w14:paraId="0010002C" w14:textId="0010002D">
            <w:r>
              <w:t xml:space="preserve">Decoded experience level: Entry-level, Mid-level, Senior-level, Executive-level</w:t>
            </w:r>
          </w:p>
        </w:tc>
      </w:tr>
      <w:tr>
        <w:trPr/>
        <w:tc>
          <w:p w14:paraId="0010002E" w14:textId="0010002F">
            <w:r>
              <w:t xml:space="preserve">role_family</w:t>
            </w:r>
          </w:p>
        </w:tc>
        <w:tc>
          <w:p w14:paraId="00100030" w14:textId="00100031">
            <w:r>
              <w:t xml:space="preserve">Manually grouped role family derived from job_title (11 categories)</w:t>
            </w:r>
          </w:p>
        </w:tc>
      </w:tr>
      <w:tr>
        <w:trPr/>
        <w:tc>
          <w:p w14:paraId="00100032" w14:textId="00100033">
            <w:r>
              <w:t xml:space="preserve">company_size</w:t>
            </w:r>
          </w:p>
        </w:tc>
        <w:tc>
          <w:p w14:paraId="00100034" w14:textId="00100035">
            <w:r>
              <w:t xml:space="preserve">Company size band as reported: S (Small), M (Medium), L (Large)</w:t>
            </w:r>
          </w:p>
        </w:tc>
      </w:tr>
      <w:tr>
        <w:trPr/>
        <w:tc>
          <w:p w14:paraId="00100036" w14:textId="00100037">
            <w:r>
              <w:t xml:space="preserve">work_mode</w:t>
            </w:r>
          </w:p>
        </w:tc>
        <w:tc>
          <w:p w14:paraId="00100038" w14:textId="00100039">
            <w:r>
              <w:t xml:space="preserve">On-site / Hybrid / Remote, decoded from remote_ratio field</w:t>
            </w:r>
          </w:p>
        </w:tc>
      </w:tr>
      <w:tr>
        <w:trPr/>
        <w:tc>
          <w:p w14:paraId="0010003A" w14:textId="0010003B">
            <w:r>
              <w:t xml:space="preserve">salary_outlier_flag</w:t>
            </w:r>
          </w:p>
        </w:tc>
        <w:tc>
          <w:p w14:paraId="0010003C" w14:textId="0010003D">
            <w:r>
              <w:t xml:space="preserve">True if salary_in_usd falls outside the 1.5 × IQR fence for the full dataset</w:t>
            </w:r>
          </w:p>
        </w:tc>
      </w:tr>
      <w:tr>
        <w:trPr/>
        <w:tc>
          <w:p w14:paraId="0010003E" w14:textId="0010003F">
            <w:r>
              <w:t xml:space="preserve">isco_group_hint</w:t>
            </w:r>
          </w:p>
        </w:tc>
        <w:tc>
          <w:p w14:paraId="00100040" w14:textId="00100041">
            <w:r>
              <w:t xml:space="preserve">Approximate ISCO-08 occupational group hint for alignment with AI-exposure index data</w:t>
            </w:r>
          </w:p>
        </w:tc>
      </w:tr>
    </w:tbl>
    <w:p w14:paraId="00100042" w14:textId="00100043">
      <w:pPr>
        <w:pStyle w:val="Normal"/>
        <w:spacing w:after="160"/>
      </w:pPr>
      <w:r>
        <w:rPr>
          <w:sz w:val="12"/>
        </w:rPr>
        <w:t xml:space="preserve"/>
      </w:r>
    </w:p>
    <w:p w14:paraId="00100044" w14:textId="00100045">
      <w:pPr>
        <w:pStyle w:val="Heading2"/>
        <w:spacing w:before="160" w:after="120"/>
      </w:pPr>
      <w:r>
        <w:rPr>
          <w:b/>
          <w:sz w:val="28"/>
        </w:rPr>
        <w:t xml:space="preserve">2.2 Data Cleaning &amp; Preparation</w:t>
      </w:r>
    </w:p>
    <w:p w14:paraId="00100046" w14:textId="00100047">
      <w:pPr>
        <w:pStyle w:val="Normal"/>
        <w:spacing w:after="120"/>
      </w:pPr>
      <w:r>
        <w:rPr>
          <w:sz w:val="22"/>
        </w:rPr>
        <w:t xml:space="preserve">The following preparation steps were performed before analysis:</w:t>
      </w:r>
    </w:p>
    <w:p w14:paraId="00100048" w14:textId="00100049">
      <w:pPr>
        <w:pStyle w:val="Normal"/>
        <w:numPr>
          <w:ilvl w:val="0"/>
          <w:numId w:val="1"/>
        </w:numPr>
        <w:spacing w:after="80"/>
      </w:pPr>
      <w:r>
        <w:rPr>
          <w:sz w:val="22"/>
        </w:rPr>
        <w:t xml:space="preserve">Type casting: The salary_outlier_flag column is stored as string literals ('True' / 'False') in the CSV. It was cast to a proper Python boolean using a .map() dictionary to ensure correct boolean filtering.</w:t>
      </w:r>
    </w:p>
    <w:p w14:paraId="0010004A" w14:textId="0010004B">
      <w:pPr>
        <w:pStyle w:val="Normal"/>
        <w:numPr>
          <w:ilvl w:val="0"/>
          <w:numId w:val="1"/>
        </w:numPr>
        <w:spacing w:after="80"/>
      </w:pPr>
      <w:r>
        <w:rPr>
          <w:sz w:val="22"/>
        </w:rPr>
        <w:t xml:space="preserve">Missing value audit: All 17 columns were checked for null values. No missing values were found in any of the five analysis columns (experience_level_label, role_family, company_size, work_mode, salary_in_usd), confirming dataset integrity for the intended analyses.</w:t>
      </w:r>
    </w:p>
    <w:p w14:paraId="0010004C" w14:textId="0010004D">
      <w:pPr>
        <w:pStyle w:val="Normal"/>
        <w:numPr>
          <w:ilvl w:val="0"/>
          <w:numId w:val="1"/>
        </w:numPr>
        <w:spacing w:after="80"/>
      </w:pPr>
      <w:r>
        <w:rPr>
          <w:sz w:val="22"/>
        </w:rPr>
        <w:t xml:space="preserve">Outlier handling: Records flagged by salary_outlier_flag == True (1,754 rows; 2.44% of total) were identified using the 1.5 × IQR fence applied over the full dataset. These rows were not deleted from the raw data but excluded from all charting and aggregation work through a df_clean filtered DataFrame. This approach preserves the original data while ensuring that extreme self-reported values do not distort group averages.</w:t>
      </w:r>
    </w:p>
    <w:p w14:paraId="0010004E" w14:textId="0010004F">
      <w:pPr>
        <w:pStyle w:val="Normal"/>
        <w:numPr>
          <w:ilvl w:val="0"/>
          <w:numId w:val="1"/>
        </w:numPr>
        <w:spacing w:after="160"/>
      </w:pPr>
      <w:r>
        <w:rPr>
          <w:sz w:val="22"/>
        </w:rPr>
        <w:t xml:space="preserve">Categorical ordering: Experience levels were manually ordered (Entry-level → Mid-level → Senior-level → Executive-level) to ensure logical left-to-right progression in bar charts. Company size codes (S, M, L) were mapped to descriptive labels (Small, Medium, Large) for readability.</w:t>
      </w:r>
    </w:p>
    <w:p w14:paraId="00100050" w14:textId="00100051">
      <w:pPr>
        <w:pStyle w:val="Heading2"/>
        <w:spacing w:before="160" w:after="120"/>
      </w:pPr>
      <w:r>
        <w:rPr>
          <w:b/>
          <w:sz w:val="28"/>
        </w:rPr>
        <w:t xml:space="preserve">2.3 Exploratory Data Analysis (EDA)</w:t>
      </w:r>
    </w:p>
    <w:p w14:paraId="00100052" w14:textId="00100053">
      <w:pPr>
        <w:pStyle w:val="Normal"/>
        <w:spacing w:after="120"/>
      </w:pPr>
      <w:r>
        <w:rPr>
          <w:sz w:val="22"/>
        </w:rPr>
        <w:t xml:space="preserve">EDA was conducted in a structured sequence within the Jupyter Notebook (Kunta_Vinay_Kumar_AI_Jobs_Analysis.ipynb):</w:t>
      </w:r>
    </w:p>
    <w:p w14:paraId="00100054" w14:textId="00100055">
      <w:pPr>
        <w:pStyle w:val="Normal"/>
        <w:numPr>
          <w:ilvl w:val="0"/>
          <w:numId w:val="2"/>
        </w:numPr>
        <w:spacing w:after="80"/>
      </w:pPr>
      <w:r>
        <w:rPr>
          <w:sz w:val="22"/>
        </w:rPr>
        <w:t xml:space="preserve">Schema inspection: Column dtypes and a full numeric .describe() summary were reviewed to understand ranges, central tendencies, and spread.</w:t>
      </w:r>
    </w:p>
    <w:p w14:paraId="00100056" w14:textId="00100057">
      <w:pPr>
        <w:pStyle w:val="Normal"/>
        <w:numPr>
          <w:ilvl w:val="0"/>
          <w:numId w:val="2"/>
        </w:numPr>
        <w:spacing w:after="80"/>
      </w:pPr>
      <w:r>
        <w:rPr>
          <w:sz w:val="22"/>
        </w:rPr>
        <w:t xml:space="preserve">Categorical distributions: value_counts() was applied to all four grouping dimensions to verify balance and detect any dominant categories that might skew group-level averages.</w:t>
      </w:r>
    </w:p>
    <w:p w14:paraId="00100058" w14:textId="00100059">
      <w:pPr>
        <w:pStyle w:val="Normal"/>
        <w:numPr>
          <w:ilvl w:val="0"/>
          <w:numId w:val="2"/>
        </w:numPr>
        <w:spacing w:after="80"/>
      </w:pPr>
      <w:r>
        <w:rPr>
          <w:sz w:val="22"/>
        </w:rPr>
        <w:t xml:space="preserve">Salary distribution visualisation: Side-by-side histograms (with KDE overlay) were produced for the full dataset and for df_clean to visually confirm the effect of outlier removal on the distribution shape.</w:t>
      </w:r>
    </w:p>
    <w:p w14:paraId="0010005A" w14:textId="0010005B">
      <w:pPr>
        <w:pStyle w:val="Normal"/>
        <w:numPr>
          <w:ilvl w:val="0"/>
          <w:numId w:val="2"/>
        </w:numPr>
        <w:spacing w:after="160"/>
      </w:pPr>
      <w:r>
        <w:rPr>
          <w:sz w:val="22"/>
        </w:rPr>
        <w:t xml:space="preserve">Group-level aggregations: Mean and median salary were computed per group using pandas groupby().agg() chains before visualisation.</w:t>
      </w:r>
    </w:p>
    <w:p w14:paraId="0010005C" w14:textId="0010005D">
      <w:pPr>
        <w:pStyle w:val="Heading2"/>
        <w:spacing w:before="160" w:after="120"/>
      </w:pPr>
      <w:r>
        <w:rPr>
          <w:b/>
          <w:sz w:val="28"/>
        </w:rPr>
        <w:t xml:space="preserve">2.4 Visualisation Approach</w:t>
      </w:r>
    </w:p>
    <w:p w14:paraId="0010005E" w14:textId="0010005F">
      <w:pPr>
        <w:pStyle w:val="Normal"/>
        <w:spacing w:after="160"/>
      </w:pPr>
      <w:r>
        <w:rPr>
          <w:sz w:val="22"/>
        </w:rPr>
        <w:t xml:space="preserve">Four charts were produced using Matplotlib and Seaborn, each targeting a distinct dimension of salary variation. Bar charts were used for group mean comparisons (Charts 1, 2, and 4); a box-plot was used for Chart 3 (company size) to convey distributional spread and median simultaneously. All charts include value annotations, sample sizes (n=), and formatted axis labels (USD currency).</w:t>
      </w:r>
    </w:p>
    <w:p w14:paraId="00100060" w14:textId="00100061">
      <w:pPr>
        <w:pStyle w:val="Heading1"/>
        <w:spacing w:before="320" w:after="160"/>
      </w:pPr>
      <w:r>
        <w:rPr>
          <w:b/>
          <w:sz w:val="32"/>
        </w:rPr>
        <w:t xml:space="preserve">3. Key Findings</w:t>
      </w:r>
    </w:p>
    <w:p w14:paraId="00100062" w14:textId="00100063">
      <w:pPr>
        <w:pStyle w:val="Heading2"/>
        <w:spacing w:before="160" w:after="120"/>
      </w:pPr>
      <w:r>
        <w:rPr>
          <w:b/>
          <w:sz w:val="28"/>
        </w:rPr>
        <w:t xml:space="preserve">3.1 Salary by Experience Level</w:t>
      </w:r>
    </w:p>
    <w:p w14:paraId="00100064" w14:textId="00100065">
      <w:pPr>
        <w:pStyle w:val="Normal"/>
        <w:spacing w:after="160"/>
      </w:pPr>
      <w:r>
        <w:rPr>
          <w:sz w:val="22"/>
        </w:rPr>
        <w:t xml:space="preserve">A clear and consistent salary staircase was observed across all four experience levels. Average salaries after outlier removal were: Entry-level $96,019 → Mid-level $130,783 → Senior-level $160,838 → Executive-level $188,040. The progression is monotonically increasing, with an overall spread of approximately $92,000 from Entry to Executive. The largest single step — roughly $30,000 — occurs between Senior-level and Executive-level, reflecting the scarcity of principal-track and C-suite AI roles and the premium attached to leadership responsibility.</w:t>
      </w:r>
    </w:p>
    <w:p w14:paraId="00100066" w14:textId="00100067">
      <w:pPr>
        <w:pStyle w:val="Heading2"/>
        <w:spacing w:before="160" w:after="120"/>
      </w:pPr>
      <w:r>
        <w:rPr>
          <w:b/>
          <w:sz w:val="28"/>
        </w:rPr>
        <w:t xml:space="preserve">3.2 Salary by Role Family (Top 10)</w:t>
      </w:r>
    </w:p>
    <w:p w14:paraId="00100068" w14:textId="00100069">
      <w:pPr>
        <w:pStyle w:val="Normal"/>
        <w:spacing w:after="160"/>
      </w:pPr>
      <w:r>
        <w:rPr>
          <w:sz w:val="22"/>
        </w:rPr>
        <w:t xml:space="preserve">Across the 11 defined role families, AI Architect commands the highest average salary at $192,781 (n=199), followed by Research Scientist at $177,687 (n=2,642) and ML Engineer at $176,789 (n=3,460). Analytics Manager ($168,747), Computer Vision ($161,895), and AI Engineer ($154,529) form the middle tier. Data Scientist ($147,433) and Data Engineer ($141,937) — the two most numerous specialised families — sit below the top tier, reflecting a broader supply of practitioners in these fields. NLP ($134,649, n=19) has the smallest sample size among named families and should be treated with caution.</w:t>
      </w:r>
    </w:p>
    <w:p w14:paraId="0010006A" w14:textId="0010006B">
      <w:pPr>
        <w:pStyle w:val="Normal"/>
        <w:spacing w:after="160"/>
      </w:pPr>
      <w:r>
        <w:rPr>
          <w:sz w:val="22"/>
        </w:rPr>
        <w:t xml:space="preserve">The 'Other / Unclassified' category (n=39,498 — the largest single group) averages $146,617, suggesting that many high-paying roles resist clean categorisation into the defined families or carry bespoke titles that were not mappable at the time of data preparation.</w:t>
      </w:r>
    </w:p>
    <w:p w14:paraId="0010006C" w14:textId="0010006D">
      <w:pPr>
        <w:pStyle w:val="Heading2"/>
        <w:spacing w:before="160" w:after="120"/>
      </w:pPr>
      <w:r>
        <w:rPr>
          <w:b/>
          <w:sz w:val="28"/>
        </w:rPr>
        <w:t xml:space="preserve">3.3 Salary by Company Size</w:t>
      </w:r>
    </w:p>
    <w:p w14:paraId="0010006E" w14:textId="0010006F">
      <w:pPr>
        <w:pStyle w:val="Normal"/>
        <w:spacing w:after="160"/>
      </w:pPr>
      <w:r>
        <w:rPr>
          <w:sz w:val="22"/>
        </w:rPr>
        <w:t xml:space="preserve">Medium-sized companies (M) account for the vast majority of observations (n=68,375) and show a median salary of $137,000 and mean of $145,097. Large companies (L, n=1,570) show a slightly lower median of $128,900 and mean of $135,202, which may reflect a greater proportion of mid-to-junior roles in large enterprise hiring pools, or a geographic mix effect. Small companies (S, n=214) exhibit the lowest median at $74,500 and mean of $86,431, though the small sample limits generalisability.</w:t>
      </w:r>
    </w:p>
    <w:p w14:paraId="00100070" w14:textId="00100071">
      <w:pPr>
        <w:pStyle w:val="Normal"/>
        <w:spacing w:after="160"/>
      </w:pPr>
      <w:r>
        <w:rPr>
          <w:sz w:val="22"/>
        </w:rPr>
        <w:t xml:space="preserve">The box-plot visualisation reveals that Medium companies also display the widest interquartile range, consistent with the diversity of roles, geographies, and seniority levels within that tier.</w:t>
      </w:r>
    </w:p>
    <w:p w14:paraId="00100072" w14:textId="00100073">
      <w:pPr>
        <w:pStyle w:val="Heading2"/>
        <w:spacing w:before="160" w:after="120"/>
      </w:pPr>
      <w:r>
        <w:rPr>
          <w:b/>
          <w:sz w:val="28"/>
        </w:rPr>
        <w:t xml:space="preserve">3.4 Salary by Work Mode</w:t>
      </w:r>
    </w:p>
    <w:p w14:paraId="00100074" w14:textId="00100075">
      <w:pPr>
        <w:pStyle w:val="Normal"/>
        <w:spacing w:after="160"/>
      </w:pPr>
      <w:r>
        <w:rPr>
          <w:sz w:val="22"/>
        </w:rPr>
        <w:t xml:space="preserve">Remote roles (n=17,265) average $145,486, nearly identical to On-site roles (n=52,570) at $144,843. This parity challenges the assumption that remote work commands a salary penalty and instead reflects the global demand for AI and data talent that enables companies to pay market rates regardless of location. Hybrid roles show a substantially lower average of $78,841, but with only n=324 observations this figure is likely an artefact of sample composition — a small number of hybrid-designated roles concentrated in lower-salary geographies or junior levels — and should not be interpreted as evidence of a hybrid pay discount.</w:t>
      </w:r>
    </w:p>
    <w:p w14:paraId="00100076" w14:textId="00100077">
      <w:pPr>
        <w:pStyle w:val="Heading2"/>
        <w:spacing w:before="160" w:after="120"/>
      </w:pPr>
      <w:r>
        <w:rPr>
          <w:b/>
          <w:sz w:val="28"/>
        </w:rPr>
        <w:t xml:space="preserve">3.5 Data Limitations</w:t>
      </w:r>
    </w:p>
    <w:p w14:paraId="00100078" w14:textId="00100079">
      <w:pPr>
        <w:pStyle w:val="Normal"/>
        <w:spacing w:after="120"/>
      </w:pPr>
      <w:r>
        <w:rPr>
          <w:sz w:val="22"/>
        </w:rPr>
        <w:t xml:space="preserve">Several important caveats apply to the findings above:</w:t>
      </w:r>
    </w:p>
    <w:p w14:paraId="0010007A" w14:textId="0010007B">
      <w:pPr>
        <w:pStyle w:val="Normal"/>
        <w:numPr>
          <w:ilvl w:val="0"/>
          <w:numId w:val="3"/>
        </w:numPr>
        <w:spacing w:after="80"/>
      </w:pPr>
      <w:r>
        <w:rPr>
          <w:sz w:val="22"/>
        </w:rPr>
        <w:t xml:space="preserve">Self-reported data: All salary figures are drawn from a community survey, not verified payroll or HR system records. Respondents may over- or under-report, and the dataset is subject to self-selection bias toward higher-paid, English-speaking, and technically engaged populations.</w:t>
      </w:r>
    </w:p>
    <w:p w14:paraId="0010007C" w14:textId="0010007D">
      <w:pPr>
        <w:pStyle w:val="Normal"/>
        <w:numPr>
          <w:ilvl w:val="0"/>
          <w:numId w:val="3"/>
        </w:numPr>
        <w:spacing w:after="80"/>
      </w:pPr>
      <w:r>
        <w:rPr>
          <w:sz w:val="22"/>
        </w:rPr>
        <w:t xml:space="preserve">Uneven country and role coverage: Some countries and niche job titles have very few rows, meaning group-level averages for those strata carry high uncertainty. Findings should be treated as indicative of broad trends, not precise market benchmarks.</w:t>
      </w:r>
    </w:p>
    <w:p w14:paraId="0010007E" w14:textId="0010007F">
      <w:pPr>
        <w:pStyle w:val="Normal"/>
        <w:numPr>
          <w:ilvl w:val="0"/>
          <w:numId w:val="3"/>
        </w:numPr>
        <w:spacing w:after="80"/>
      </w:pPr>
      <w:r>
        <w:rPr>
          <w:sz w:val="22"/>
        </w:rPr>
        <w:t xml:space="preserve">Manual role_family mapping: The role_family and isco_group_hint columns are manually assigned approximate mappings. They are documented as illustrative and should not be treated as authoritative occupational classifications.</w:t>
      </w:r>
    </w:p>
    <w:p w14:paraId="00100080" w14:textId="00100081">
      <w:pPr>
        <w:pStyle w:val="Normal"/>
        <w:numPr>
          <w:ilvl w:val="0"/>
          <w:numId w:val="3"/>
        </w:numPr>
        <w:spacing w:after="160"/>
      </w:pPr>
      <w:r>
        <w:rPr>
          <w:sz w:val="22"/>
        </w:rPr>
        <w:t xml:space="preserve">Temporal snapshot: The dataset spans multiple work_year values. Salary norms shift year-on-year as the AI labour market evolves; aggregating across years without time-stratification may mask meaningful trends.</w:t>
      </w:r>
    </w:p>
    <w:p w14:paraId="00100082" w14:textId="00100083">
      <w:pPr>
        <w:pStyle w:val="Heading1"/>
        <w:spacing w:before="320" w:after="160"/>
      </w:pPr>
      <w:r>
        <w:rPr>
          <w:b/>
          <w:sz w:val="32"/>
        </w:rPr>
        <w:t xml:space="preserve">4. Conclusion</w:t>
      </w:r>
    </w:p>
    <w:p w14:paraId="00100084" w14:textId="00100085">
      <w:pPr>
        <w:pStyle w:val="Normal"/>
        <w:spacing w:after="160"/>
      </w:pPr>
      <w:r>
        <w:rPr>
          <w:sz w:val="22"/>
        </w:rPr>
        <w:t xml:space="preserve">This analysis confirms several widely held hypotheses about AI-sector compensation while introducing nuance where the data warrants it. Seniority remains the single strongest predictor of salary within this dataset, with a clear and consistent premium at each experience tier. Specialised and research-oriented role families — AI Architect, Research Scientist, ML Engineer — command the highest average salaries, while high-volume families such as Data Analyst and Data Engineer sit closer to the overall mean. Remote work does not appear to penalise compensation within this sector; remote and on-site averages are statistically comparable.</w:t>
      </w:r>
    </w:p>
    <w:p w14:paraId="00100086" w14:textId="00100087">
      <w:pPr>
        <w:pStyle w:val="Normal"/>
        <w:spacing w:after="160"/>
      </w:pPr>
      <w:r>
        <w:rPr>
          <w:sz w:val="22"/>
        </w:rPr>
        <w:t xml:space="preserve">Viewed alongside the Global Index of Occupational Exposure to Generative AI (Gmyrek et al., 2025), these findings suggest a complex dynamic: while generative AI poses the highest automation exposure to higher-skilled cognitive occupations, those same occupations appear to command the strongest wage premiums within the AI sector itself — reflecting both scarcity and the complementarity of human expertise with AI tooling in frontier research and architecture roles.</w:t>
      </w:r>
    </w:p>
    <w:p w14:paraId="00100088" w14:textId="00100089">
      <w:pPr>
        <w:pStyle w:val="Normal"/>
        <w:spacing w:after="160"/>
      </w:pPr>
      <w:r>
        <w:rPr>
          <w:sz w:val="22"/>
        </w:rPr>
        <w:t xml:space="preserve">Future work should stratify the analysis by country and work_year to capture geographic wage differentials and temporal trends, and should integrate the ISCO-08 AI-exposure scores directly to test whether higher-exposure occupations are experiencing salary divergence over time.</w:t>
      </w:r>
    </w:p>
    <w:p w14:paraId="0010008A" w14:textId="0010008B">
      <w:pPr>
        <w:pStyle w:val="Heading1"/>
        <w:spacing w:before="320" w:after="160"/>
      </w:pPr>
      <w:r>
        <w:rPr>
          <w:b/>
          <w:sz w:val="32"/>
        </w:rPr>
        <w:t xml:space="preserve">5. References &amp; Data Sources</w:t>
      </w:r>
    </w:p>
    <w:p w14:paraId="0010008C" w14:textId="0010008D">
      <w:pPr>
        <w:pStyle w:val="Normal"/>
        <w:numPr>
          <w:ilvl w:val="0"/>
          <w:numId w:val="4"/>
        </w:numPr>
        <w:spacing w:after="120"/>
      </w:pPr>
      <w:r>
        <w:rPr>
          <w:sz w:val="22"/>
        </w:rPr>
        <w:t xml:space="preserve">Salary data: foorilla/ai-jobs-net-salaries. GitHub repository, CC0 1.0 Universal Public Domain Dedication. Available at: https://github.com/foorilla/ai-jobs-net-salaries</w:t>
      </w:r>
    </w:p>
    <w:p w14:paraId="0010008E" w14:textId="0010008F">
      <w:pPr>
        <w:pStyle w:val="Normal"/>
        <w:numPr>
          <w:ilvl w:val="0"/>
          <w:numId w:val="4"/>
        </w:numPr>
        <w:spacing w:after="120"/>
      </w:pPr>
      <w:r>
        <w:rPr>
          <w:sz w:val="22"/>
        </w:rPr>
        <w:t xml:space="preserve">AI-exposure scores: Gmyrek, P., Berg, J., Kamiński, K., Konopczyński, F., Ładna, A., Nafradi, B., Rosłaniec, K., &amp; Troszyński, M. (2025). Global Index of Occupational Exposure to Generative AI. International Labour Organization. CC BY 4.0.</w:t>
      </w:r>
    </w:p>
    <w:p w14:paraId="00100090" w14:textId="00100091">
      <w:pPr>
        <w:pStyle w:val="Normal"/>
        <w:numPr>
          <w:ilvl w:val="0"/>
          <w:numId w:val="4"/>
        </w:numPr>
        <w:spacing w:after="120"/>
      </w:pPr>
      <w:r>
        <w:rPr>
          <w:sz w:val="22"/>
        </w:rPr>
        <w:t xml:space="preserve">Data dictionary: data_dictionary.md (companion file, this project).</w:t>
      </w:r>
    </w:p>
    <w:p w14:paraId="00100092" w14:textId="00100093">
      <w:pPr>
        <w:pStyle w:val="Normal"/>
        <w:numPr>
          <w:ilvl w:val="0"/>
          <w:numId w:val="4"/>
        </w:numPr>
        <w:spacing w:after="120"/>
      </w:pPr>
      <w:r>
        <w:rPr>
          <w:sz w:val="22"/>
        </w:rPr>
        <w:t xml:space="preserve">Analysis notebook: Kunta_Vinay_Kumar_AI_Jobs_Analysis.ipynb (this project).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9d5df60a4588402d" /><Relationship Type="http://schemas.openxmlformats.org/officeDocument/2006/relationships/styles" Target="/word/styles.xml" Id="R1533373993834e4c" /><Relationship Type="http://schemas.openxmlformats.org/officeDocument/2006/relationships/theme" Target="/word/theme/theme1.xml" Id="Rf29acb9492f74f55" /><Relationship Type="http://schemas.openxmlformats.org/officeDocument/2006/relationships/numbering" Target="/word/numbering.xml" Id="Rb6a7e2fae65f47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2026-09-24T08:49:35Z</dcterms:created>
  <cp:lastModifiedBy>OfficeCLI</cp:lastModifiedBy>
  <dcterms:modified xsi:type="dcterms:W3CDTF">2026-09-24T08:49:35Z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2026-09-24T08:49:51Z</vt:lpwstr>
  </op:property>
</op:Properties>
</file>