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F3864"/>
          <w:sz w:val="40"/>
          <w:szCs w:val="40"/>
        </w:rPr>
        <w:t xml:space="preserve">PT BANK DIGITAL NUSANTARA</w:t>
      </w:r>
    </w:p>
    <w:p>
      <w:pPr>
        <w:spacing w:after="400"/>
        <w:jc w:val="center"/>
      </w:pPr>
      <w:r>
        <w:rPr>
          <w:rFonts w:ascii="Arial" w:cs="Arial" w:eastAsia="Arial" w:hAnsi="Arial"/>
          <w:b/>
          <w:bCs/>
          <w:color w:val="2E75B6"/>
          <w:sz w:val="32"/>
          <w:szCs w:val="32"/>
        </w:rPr>
        <w:t xml:space="preserve">INFORMATION TECHNOLOGY SECURITY POLICY</w:t>
      </w:r>
    </w:p>
    <w:p>
      <w:pPr>
        <w:jc w:val="center"/>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Document No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ISP-2023-001</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3.2</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January 1, 2024</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Approved By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Board of Directors</w:t>
            </w:r>
          </w:p>
        </w:tc>
      </w:tr>
      <w:tr>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sz w:val="20"/>
                <w:szCs w:val="20"/>
              </w:rPr>
              <w:t xml:space="preserve">Next Review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December 15, 2024</w:t>
            </w:r>
          </w:p>
        </w:tc>
      </w:tr>
    </w:tbl>
    <w:p>
      <w:r>
        <w:br w:type="page"/>
      </w:r>
    </w:p>
    <w:p>
      <w:pPr>
        <w:pStyle w:val="Heading1"/>
      </w:pPr>
      <w:r>
        <w:t xml:space="preserve">1. IT GOVERNANCE STRUCTURE</w:t>
      </w:r>
    </w:p>
    <w:p>
      <w:pPr>
        <w:spacing w:after="120"/>
      </w:pPr>
      <w:r>
        <w:rPr>
          <w:sz w:val="22"/>
          <w:szCs w:val="22"/>
        </w:rPr>
        <w:t xml:space="preserve">PT Bank Digital Nusantara ("the Bank") maintains an IT governance framework aligned with the Bank’s overall corporate governance. The Chief Information Security Officer (CISO) reports directly to the Board of Directors through the Risk Management Committee.</w:t>
      </w:r>
    </w:p>
    <w:p>
      <w:pPr>
        <w:spacing w:after="120"/>
      </w:pPr>
      <w:r>
        <w:rPr>
          <w:sz w:val="22"/>
          <w:szCs w:val="22"/>
        </w:rPr>
        <w:t xml:space="preserve">Key governance elements:</w:t>
      </w:r>
    </w:p>
    <w:p>
      <w:pPr>
        <w:pStyle w:val="ListParagraph"/>
        <w:numPr>
          <w:ilvl w:val="0"/>
          <w:numId w:val="2"/>
        </w:numPr>
        <w:spacing w:after="60"/>
      </w:pPr>
      <w:r>
        <w:rPr>
          <w:sz w:val="22"/>
          <w:szCs w:val="22"/>
        </w:rPr>
        <w:t xml:space="preserve">The IT Division is responsible for all technology operations, development, and security.</w:t>
      </w:r>
    </w:p>
    <w:p>
      <w:pPr>
        <w:pStyle w:val="ListParagraph"/>
        <w:numPr>
          <w:ilvl w:val="0"/>
          <w:numId w:val="2"/>
        </w:numPr>
        <w:spacing w:after="60"/>
      </w:pPr>
      <w:r>
        <w:rPr>
          <w:sz w:val="22"/>
          <w:szCs w:val="22"/>
        </w:rPr>
        <w:t xml:space="preserve">The CISO leads the Information Security function with a dedicated team of 12 security professionals.</w:t>
      </w:r>
    </w:p>
    <w:p>
      <w:pPr>
        <w:pStyle w:val="ListParagraph"/>
        <w:numPr>
          <w:ilvl w:val="0"/>
          <w:numId w:val="2"/>
        </w:numPr>
        <w:spacing w:after="60"/>
      </w:pPr>
      <w:r>
        <w:rPr>
          <w:sz w:val="22"/>
          <w:szCs w:val="22"/>
        </w:rPr>
        <w:t xml:space="preserve">IT strategy is reviewed semi-annually by the Board and aligns with the Bank’s 5-year business plan.</w:t>
      </w:r>
    </w:p>
    <w:p>
      <w:pPr>
        <w:pStyle w:val="ListParagraph"/>
        <w:numPr>
          <w:ilvl w:val="0"/>
          <w:numId w:val="2"/>
        </w:numPr>
        <w:spacing w:after="60"/>
      </w:pPr>
      <w:r>
        <w:rPr>
          <w:sz w:val="22"/>
          <w:szCs w:val="22"/>
        </w:rPr>
        <w:t xml:space="preserve">IT budget allocation follows a risk-based prioritization model approved by the Finance Division.</w:t>
      </w:r>
    </w:p>
    <w:p>
      <w:pPr>
        <w:spacing w:after="120"/>
      </w:pPr>
      <w:r>
        <w:rPr>
          <w:i/>
          <w:iCs/>
          <w:color w:val="808080"/>
          <w:sz w:val="22"/>
          <w:szCs w:val="22"/>
        </w:rPr>
        <w:t xml:space="preserve">Note: A formal IT Steering Committee has not yet been established. IT governance decisions are currently made through the existing Risk Management Committee structure.</w:t>
      </w:r>
    </w:p>
    <w:p>
      <w:pPr>
        <w:pStyle w:val="Heading1"/>
      </w:pPr>
      <w:r>
        <w:t xml:space="preserve">2. IT RISK MANAGEMENT</w:t>
      </w:r>
    </w:p>
    <w:p>
      <w:pPr>
        <w:spacing w:after="120"/>
      </w:pPr>
      <w:r>
        <w:rPr>
          <w:sz w:val="22"/>
          <w:szCs w:val="22"/>
        </w:rPr>
        <w:t xml:space="preserve">The Bank identifies, assesses, and mitigates IT risks as part of the enterprise risk management framework.</w:t>
      </w:r>
    </w:p>
    <w:p>
      <w:pPr>
        <w:pStyle w:val="ListParagraph"/>
        <w:numPr>
          <w:ilvl w:val="0"/>
          <w:numId w:val="2"/>
        </w:numPr>
        <w:spacing w:after="60"/>
      </w:pPr>
      <w:r>
        <w:rPr>
          <w:sz w:val="22"/>
          <w:szCs w:val="22"/>
        </w:rPr>
        <w:t xml:space="preserve">Risk assessments are conducted annually, covering infrastructure, application, and data risks.</w:t>
      </w:r>
    </w:p>
    <w:p>
      <w:pPr>
        <w:pStyle w:val="ListParagraph"/>
        <w:numPr>
          <w:ilvl w:val="0"/>
          <w:numId w:val="2"/>
        </w:numPr>
        <w:spacing w:after="60"/>
      </w:pPr>
      <w:r>
        <w:rPr>
          <w:sz w:val="22"/>
          <w:szCs w:val="22"/>
        </w:rPr>
        <w:t xml:space="preserve">Risks are identified through department interviews and system audits.</w:t>
      </w:r>
    </w:p>
    <w:p>
      <w:pPr>
        <w:pStyle w:val="ListParagraph"/>
        <w:numPr>
          <w:ilvl w:val="0"/>
          <w:numId w:val="2"/>
        </w:numPr>
        <w:spacing w:after="60"/>
      </w:pPr>
      <w:r>
        <w:rPr>
          <w:sz w:val="22"/>
          <w:szCs w:val="22"/>
        </w:rPr>
        <w:t xml:space="preserve">Each risk is rated on a 3-level scale: Low, Medium, High.</w:t>
      </w:r>
    </w:p>
    <w:p>
      <w:pPr>
        <w:pStyle w:val="ListParagraph"/>
        <w:numPr>
          <w:ilvl w:val="0"/>
          <w:numId w:val="2"/>
        </w:numPr>
        <w:spacing w:after="60"/>
      </w:pPr>
      <w:r>
        <w:rPr>
          <w:sz w:val="22"/>
          <w:szCs w:val="22"/>
        </w:rPr>
        <w:t xml:space="preserve">Risk mitigation plans are reviewed by the IT Division Head.</w:t>
      </w:r>
    </w:p>
    <w:p>
      <w:pPr>
        <w:pStyle w:val="ListParagraph"/>
        <w:numPr>
          <w:ilvl w:val="0"/>
          <w:numId w:val="2"/>
        </w:numPr>
        <w:spacing w:after="60"/>
      </w:pPr>
      <w:r>
        <w:rPr>
          <w:sz w:val="22"/>
          <w:szCs w:val="22"/>
        </w:rPr>
        <w:t xml:space="preserve">A risk register is maintained and updated annually.</w:t>
      </w:r>
    </w:p>
    <w:p>
      <w:pPr>
        <w:spacing w:after="120"/>
      </w:pPr>
      <w:r>
        <w:rPr>
          <w:sz w:val="22"/>
          <w:szCs w:val="22"/>
        </w:rPr>
        <w:t xml:space="preserve">Key Risk Indicators (KRI) are tracked for system availability and data integrity. KRI threshold breaches are reported to management in the monthly operations report.</w:t>
      </w:r>
    </w:p>
    <w:p>
      <w:pPr>
        <w:pStyle w:val="Heading1"/>
      </w:pPr>
      <w:r>
        <w:t xml:space="preserve">3. IT SECURITY CONTROLS</w:t>
      </w:r>
    </w:p>
    <w:p>
      <w:pPr>
        <w:pStyle w:val="Heading2"/>
      </w:pPr>
      <w:r>
        <w:t xml:space="preserve">3.1 Access Control</w:t>
      </w:r>
    </w:p>
    <w:p>
      <w:pPr>
        <w:pStyle w:val="ListParagraph"/>
        <w:numPr>
          <w:ilvl w:val="0"/>
          <w:numId w:val="2"/>
        </w:numPr>
        <w:spacing w:after="60"/>
      </w:pPr>
      <w:r>
        <w:rPr>
          <w:sz w:val="22"/>
          <w:szCs w:val="22"/>
        </w:rPr>
        <w:t xml:space="preserve">All users are assigned role-based access credentials managed through Active Directory.</w:t>
      </w:r>
    </w:p>
    <w:p>
      <w:pPr>
        <w:pStyle w:val="ListParagraph"/>
        <w:numPr>
          <w:ilvl w:val="0"/>
          <w:numId w:val="2"/>
        </w:numPr>
        <w:spacing w:after="60"/>
      </w:pPr>
      <w:r>
        <w:rPr>
          <w:sz w:val="22"/>
          <w:szCs w:val="22"/>
        </w:rPr>
        <w:t xml:space="preserve">Multi-factor authentication (MFA) is mandatory for core banking and customer data systems.</w:t>
      </w:r>
    </w:p>
    <w:p>
      <w:pPr>
        <w:pStyle w:val="ListParagraph"/>
        <w:numPr>
          <w:ilvl w:val="0"/>
          <w:numId w:val="2"/>
        </w:numPr>
        <w:spacing w:after="60"/>
      </w:pPr>
      <w:r>
        <w:rPr>
          <w:sz w:val="22"/>
          <w:szCs w:val="22"/>
        </w:rPr>
        <w:t xml:space="preserve">Access reviews are conducted quarterly, with immediate revocation upon termination.</w:t>
      </w:r>
    </w:p>
    <w:p>
      <w:pPr>
        <w:pStyle w:val="ListParagraph"/>
        <w:numPr>
          <w:ilvl w:val="0"/>
          <w:numId w:val="2"/>
        </w:numPr>
        <w:spacing w:after="60"/>
      </w:pPr>
      <w:r>
        <w:rPr>
          <w:sz w:val="22"/>
          <w:szCs w:val="22"/>
        </w:rPr>
        <w:t xml:space="preserve">Privileged access requires approval from the CISO and is logged.</w:t>
      </w:r>
    </w:p>
    <w:p>
      <w:pPr>
        <w:pStyle w:val="Heading2"/>
      </w:pPr>
      <w:r>
        <w:t xml:space="preserve">3.2 Network Security</w:t>
      </w:r>
    </w:p>
    <w:p>
      <w:pPr>
        <w:pStyle w:val="ListParagraph"/>
        <w:numPr>
          <w:ilvl w:val="0"/>
          <w:numId w:val="2"/>
        </w:numPr>
        <w:spacing w:after="60"/>
      </w:pPr>
      <w:r>
        <w:rPr>
          <w:sz w:val="22"/>
          <w:szCs w:val="22"/>
        </w:rPr>
        <w:t xml:space="preserve">Intrusion Detection Systems (IDS) are deployed on critical network segments.</w:t>
      </w:r>
    </w:p>
    <w:p>
      <w:pPr>
        <w:pStyle w:val="ListParagraph"/>
        <w:numPr>
          <w:ilvl w:val="0"/>
          <w:numId w:val="2"/>
        </w:numPr>
        <w:spacing w:after="60"/>
      </w:pPr>
      <w:r>
        <w:rPr>
          <w:sz w:val="22"/>
          <w:szCs w:val="22"/>
        </w:rPr>
        <w:t xml:space="preserve">Firewall rules are reviewed semi-annually.</w:t>
      </w:r>
    </w:p>
    <w:p>
      <w:pPr>
        <w:pStyle w:val="ListParagraph"/>
        <w:numPr>
          <w:ilvl w:val="0"/>
          <w:numId w:val="2"/>
        </w:numPr>
        <w:spacing w:after="60"/>
      </w:pPr>
      <w:r>
        <w:rPr>
          <w:sz w:val="22"/>
          <w:szCs w:val="22"/>
        </w:rPr>
        <w:t xml:space="preserve">VPN is required for all remote access to internal systems.</w:t>
      </w:r>
    </w:p>
    <w:p>
      <w:pPr>
        <w:pStyle w:val="ListParagraph"/>
        <w:numPr>
          <w:ilvl w:val="0"/>
          <w:numId w:val="2"/>
        </w:numPr>
        <w:spacing w:after="60"/>
      </w:pPr>
      <w:r>
        <w:rPr>
          <w:sz w:val="22"/>
          <w:szCs w:val="22"/>
        </w:rPr>
        <w:t xml:space="preserve">Network segmentation separates production, development, and DMZ environments.</w:t>
      </w:r>
    </w:p>
    <w:p>
      <w:pPr>
        <w:pStyle w:val="Heading2"/>
      </w:pPr>
      <w:r>
        <w:t xml:space="preserve">3.3 Encryption</w:t>
      </w:r>
    </w:p>
    <w:p>
      <w:pPr>
        <w:pStyle w:val="ListParagraph"/>
        <w:numPr>
          <w:ilvl w:val="0"/>
          <w:numId w:val="2"/>
        </w:numPr>
        <w:spacing w:after="60"/>
      </w:pPr>
      <w:r>
        <w:rPr>
          <w:sz w:val="22"/>
          <w:szCs w:val="22"/>
        </w:rPr>
        <w:t xml:space="preserve">Data at rest: AES-256 encryption for all databases containing customer data.</w:t>
      </w:r>
    </w:p>
    <w:p>
      <w:pPr>
        <w:pStyle w:val="ListParagraph"/>
        <w:numPr>
          <w:ilvl w:val="0"/>
          <w:numId w:val="2"/>
        </w:numPr>
        <w:spacing w:after="60"/>
      </w:pPr>
      <w:r>
        <w:rPr>
          <w:sz w:val="22"/>
          <w:szCs w:val="22"/>
        </w:rPr>
        <w:t xml:space="preserve">Data in transit: TLS 1.2 minimum for all external communications.</w:t>
      </w:r>
    </w:p>
    <w:p>
      <w:pPr>
        <w:pStyle w:val="ListParagraph"/>
        <w:numPr>
          <w:ilvl w:val="0"/>
          <w:numId w:val="2"/>
        </w:numPr>
        <w:spacing w:after="60"/>
      </w:pPr>
      <w:r>
        <w:rPr>
          <w:sz w:val="22"/>
          <w:szCs w:val="22"/>
        </w:rPr>
        <w:t xml:space="preserve">Encryption keys are managed centrally with annual rotation.</w:t>
      </w:r>
    </w:p>
    <w:p>
      <w:pPr>
        <w:pStyle w:val="Heading1"/>
      </w:pPr>
      <w:r>
        <w:t xml:space="preserve">4. DATA PROTECTION</w:t>
      </w:r>
    </w:p>
    <w:p>
      <w:pPr>
        <w:spacing w:after="120"/>
      </w:pPr>
      <w:r>
        <w:rPr>
          <w:sz w:val="22"/>
          <w:szCs w:val="22"/>
        </w:rPr>
        <w:t xml:space="preserve">The Bank implements a four-level data classification scheme:</w:t>
      </w:r>
    </w:p>
    <w:p>
      <w:pPr>
        <w:pStyle w:val="ListParagraph"/>
        <w:numPr>
          <w:ilvl w:val="0"/>
          <w:numId w:val="2"/>
        </w:numPr>
        <w:spacing w:after="60"/>
      </w:pPr>
      <w:r>
        <w:rPr>
          <w:sz w:val="22"/>
          <w:szCs w:val="22"/>
        </w:rPr>
        <w:t xml:space="preserve">Public: Marketing materials, press releases</w:t>
      </w:r>
    </w:p>
    <w:p>
      <w:pPr>
        <w:pStyle w:val="ListParagraph"/>
        <w:numPr>
          <w:ilvl w:val="0"/>
          <w:numId w:val="2"/>
        </w:numPr>
        <w:spacing w:after="60"/>
      </w:pPr>
      <w:r>
        <w:rPr>
          <w:sz w:val="22"/>
          <w:szCs w:val="22"/>
        </w:rPr>
        <w:t xml:space="preserve">Internal: Operational procedures, internal communications</w:t>
      </w:r>
    </w:p>
    <w:p>
      <w:pPr>
        <w:pStyle w:val="ListParagraph"/>
        <w:numPr>
          <w:ilvl w:val="0"/>
          <w:numId w:val="2"/>
        </w:numPr>
        <w:spacing w:after="60"/>
      </w:pPr>
      <w:r>
        <w:rPr>
          <w:sz w:val="22"/>
          <w:szCs w:val="22"/>
        </w:rPr>
        <w:t xml:space="preserve">Confidential: Customer account data, financial reports</w:t>
      </w:r>
    </w:p>
    <w:p>
      <w:pPr>
        <w:pStyle w:val="ListParagraph"/>
        <w:numPr>
          <w:ilvl w:val="0"/>
          <w:numId w:val="2"/>
        </w:numPr>
        <w:spacing w:after="60"/>
      </w:pPr>
      <w:r>
        <w:rPr>
          <w:sz w:val="22"/>
          <w:szCs w:val="22"/>
        </w:rPr>
        <w:t xml:space="preserve">Highly Confidential: Authentication credentials, encryption keys</w:t>
      </w:r>
    </w:p>
    <w:p>
      <w:pPr>
        <w:spacing w:after="120"/>
      </w:pPr>
      <w:r>
        <w:rPr>
          <w:sz w:val="22"/>
          <w:szCs w:val="22"/>
        </w:rPr>
        <w:t xml:space="preserve">Customer personal data is stored in the Bank’s primary data center located in Jakarta. Cross-border data transfer requires written approval from the Compliance Division.</w:t>
      </w:r>
    </w:p>
    <w:p>
      <w:pPr>
        <w:spacing w:after="120"/>
      </w:pPr>
      <w:r>
        <w:rPr>
          <w:sz w:val="22"/>
          <w:szCs w:val="22"/>
        </w:rPr>
        <w:t xml:space="preserve">Data retention: Transaction records are retained for 5 years. Customer identification records are retained for 10 years in accordance with AML regulations.</w:t>
      </w:r>
    </w:p>
    <w:p>
      <w:pPr>
        <w:pStyle w:val="Heading1"/>
      </w:pPr>
      <w:r>
        <w:t xml:space="preserve">5. VULNERABILITY MANAGEMENT</w:t>
      </w:r>
    </w:p>
    <w:p>
      <w:pPr>
        <w:pStyle w:val="ListParagraph"/>
        <w:numPr>
          <w:ilvl w:val="0"/>
          <w:numId w:val="2"/>
        </w:numPr>
        <w:spacing w:after="60"/>
      </w:pPr>
      <w:r>
        <w:rPr>
          <w:sz w:val="22"/>
          <w:szCs w:val="22"/>
        </w:rPr>
        <w:t xml:space="preserve">Vulnerability scans are performed monthly using automated scanning tools.</w:t>
      </w:r>
    </w:p>
    <w:p>
      <w:pPr>
        <w:pStyle w:val="ListParagraph"/>
        <w:numPr>
          <w:ilvl w:val="0"/>
          <w:numId w:val="2"/>
        </w:numPr>
        <w:spacing w:after="60"/>
      </w:pPr>
      <w:r>
        <w:rPr>
          <w:sz w:val="22"/>
          <w:szCs w:val="22"/>
        </w:rPr>
        <w:t xml:space="preserve">Penetration testing is conducted annually by an independent external firm.</w:t>
      </w:r>
    </w:p>
    <w:p>
      <w:pPr>
        <w:pStyle w:val="ListParagraph"/>
        <w:numPr>
          <w:ilvl w:val="0"/>
          <w:numId w:val="2"/>
        </w:numPr>
        <w:spacing w:after="60"/>
      </w:pPr>
      <w:r>
        <w:rPr>
          <w:sz w:val="22"/>
          <w:szCs w:val="22"/>
        </w:rPr>
        <w:t xml:space="preserve">Critical patches must be applied within 14 days of vendor release.</w:t>
      </w:r>
    </w:p>
    <w:p>
      <w:pPr>
        <w:pStyle w:val="ListParagraph"/>
        <w:numPr>
          <w:ilvl w:val="0"/>
          <w:numId w:val="2"/>
        </w:numPr>
        <w:spacing w:after="60"/>
      </w:pPr>
      <w:r>
        <w:rPr>
          <w:sz w:val="22"/>
          <w:szCs w:val="22"/>
        </w:rPr>
        <w:t xml:space="preserve">High-severity patches must be applied within 30 days.</w:t>
      </w:r>
    </w:p>
    <w:p>
      <w:pPr>
        <w:pStyle w:val="ListParagraph"/>
        <w:numPr>
          <w:ilvl w:val="0"/>
          <w:numId w:val="2"/>
        </w:numPr>
        <w:spacing w:after="60"/>
      </w:pPr>
      <w:r>
        <w:rPr>
          <w:sz w:val="22"/>
          <w:szCs w:val="22"/>
        </w:rPr>
        <w:t xml:space="preserve">Patch compliance is reported monthly to the IT Division Head.</w:t>
      </w:r>
    </w:p>
    <w:p>
      <w:pPr>
        <w:pStyle w:val="Heading1"/>
      </w:pPr>
      <w:r>
        <w:t xml:space="preserve">6. INCIDENT RESPONSE</w:t>
      </w:r>
    </w:p>
    <w:p>
      <w:pPr>
        <w:spacing w:after="120"/>
      </w:pPr>
      <w:r>
        <w:rPr>
          <w:sz w:val="22"/>
          <w:szCs w:val="22"/>
        </w:rPr>
        <w:t xml:space="preserve">The Bank maintains an Incident Response Team (IRT) consisting of representatives from IT Security, Network Operations, and the Legal Division.</w:t>
      </w:r>
    </w:p>
    <w:p>
      <w:pPr>
        <w:spacing w:after="120"/>
      </w:pPr>
      <w:r>
        <w:rPr>
          <w:sz w:val="22"/>
          <w:szCs w:val="22"/>
        </w:rPr>
        <w:t xml:space="preserve">Incident classification:</w:t>
      </w:r>
    </w:p>
    <w:p>
      <w:pPr>
        <w:pStyle w:val="ListParagraph"/>
        <w:numPr>
          <w:ilvl w:val="0"/>
          <w:numId w:val="2"/>
        </w:numPr>
        <w:spacing w:after="60"/>
      </w:pPr>
      <w:r>
        <w:rPr>
          <w:sz w:val="22"/>
          <w:szCs w:val="22"/>
        </w:rPr>
        <w:t xml:space="preserve">Level 1 (Critical): Data breach, core system compromise — escalate to CISO immediately</w:t>
      </w:r>
    </w:p>
    <w:p>
      <w:pPr>
        <w:pStyle w:val="ListParagraph"/>
        <w:numPr>
          <w:ilvl w:val="0"/>
          <w:numId w:val="2"/>
        </w:numPr>
        <w:spacing w:after="60"/>
      </w:pPr>
      <w:r>
        <w:rPr>
          <w:sz w:val="22"/>
          <w:szCs w:val="22"/>
        </w:rPr>
        <w:t xml:space="preserve">Level 2 (Major): Service disruption &gt;2 hours, malware outbreak — escalate within 4 hours</w:t>
      </w:r>
    </w:p>
    <w:p>
      <w:pPr>
        <w:pStyle w:val="ListParagraph"/>
        <w:numPr>
          <w:ilvl w:val="0"/>
          <w:numId w:val="2"/>
        </w:numPr>
        <w:spacing w:after="60"/>
      </w:pPr>
      <w:r>
        <w:rPr>
          <w:sz w:val="22"/>
          <w:szCs w:val="22"/>
        </w:rPr>
        <w:t xml:space="preserve">Level 3 (Minor): Isolated incidents, policy violations — document within 1 business day</w:t>
      </w:r>
    </w:p>
    <w:p>
      <w:pPr>
        <w:spacing w:after="120"/>
      </w:pPr>
      <w:r>
        <w:rPr>
          <w:sz w:val="22"/>
          <w:szCs w:val="22"/>
        </w:rPr>
        <w:t xml:space="preserve">Post-incident reviews are conducted within 30 days of resolution.</w:t>
      </w:r>
    </w:p>
    <w:p>
      <w:pPr>
        <w:spacing w:after="120"/>
      </w:pPr>
      <w:r>
        <w:rPr>
          <w:i/>
          <w:iCs/>
          <w:color w:val="CC0000"/>
          <w:sz w:val="22"/>
          <w:szCs w:val="22"/>
        </w:rPr>
        <w:t xml:space="preserve">Note: Formal incident reporting timelines to OJK have not yet been incorporated into this policy. The Compliance Division is developing a regulatory reporting procedure.</w:t>
      </w:r>
    </w:p>
    <w:p>
      <w:pPr>
        <w:pStyle w:val="Heading1"/>
      </w:pPr>
      <w:r>
        <w:t xml:space="preserve">7. CYBERSECURITY AWARENESS</w:t>
      </w:r>
    </w:p>
    <w:p>
      <w:pPr>
        <w:pStyle w:val="ListParagraph"/>
        <w:numPr>
          <w:ilvl w:val="0"/>
          <w:numId w:val="2"/>
        </w:numPr>
        <w:spacing w:after="60"/>
      </w:pPr>
      <w:r>
        <w:rPr>
          <w:sz w:val="22"/>
          <w:szCs w:val="22"/>
        </w:rPr>
        <w:t xml:space="preserve">All employees complete annual cybersecurity awareness training.</w:t>
      </w:r>
    </w:p>
    <w:p>
      <w:pPr>
        <w:pStyle w:val="ListParagraph"/>
        <w:numPr>
          <w:ilvl w:val="0"/>
          <w:numId w:val="2"/>
        </w:numPr>
        <w:spacing w:after="60"/>
      </w:pPr>
      <w:r>
        <w:rPr>
          <w:sz w:val="22"/>
          <w:szCs w:val="22"/>
        </w:rPr>
        <w:t xml:space="preserve">IT and security personnel receive additional quarterly technical training.</w:t>
      </w:r>
    </w:p>
    <w:p>
      <w:pPr>
        <w:pStyle w:val="ListParagraph"/>
        <w:numPr>
          <w:ilvl w:val="0"/>
          <w:numId w:val="2"/>
        </w:numPr>
        <w:spacing w:after="60"/>
      </w:pPr>
      <w:r>
        <w:rPr>
          <w:sz w:val="22"/>
          <w:szCs w:val="22"/>
        </w:rPr>
        <w:t xml:space="preserve">Phishing simulation exercises are conducted semi-annually.</w:t>
      </w:r>
    </w:p>
    <w:p>
      <w:pPr>
        <w:pStyle w:val="Heading1"/>
      </w:pPr>
      <w:r>
        <w:t xml:space="preserve">8. THIRD-PARTY MANAGEMENT</w:t>
      </w:r>
    </w:p>
    <w:p>
      <w:pPr>
        <w:spacing w:after="120"/>
      </w:pPr>
      <w:r>
        <w:rPr>
          <w:sz w:val="22"/>
          <w:szCs w:val="22"/>
        </w:rPr>
        <w:t xml:space="preserve">Third-party IT service providers are assessed during onboarding for security posture and financial stability. Contracts include SLA definitions and data protection clauses. Annual reviews of critical vendor performance are conducted.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2026-04-05T14:57:49.094Z</dcterms:created>
  <dcterms:modified xsi:type="dcterms:W3CDTF">2026-04-05T14:57:49.095Z</dcterms:modified>
</cp:coreProperties>
</file>

<file path=docProps/custom.xml><?xml version="1.0" encoding="utf-8"?>
<Properties xmlns="http://schemas.openxmlformats.org/officeDocument/2006/custom-properties" xmlns:vt="http://schemas.openxmlformats.org/officeDocument/2006/docPropsVTypes"/>
</file>