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PT PAYMENTHUB INDONESIA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DIGITAL PAYMENT SERVICE POLICY</w:t>
      </w:r>
    </w:p>
    <w:p>
      <w:pPr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DPS-2024-002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of Directors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15, 2025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PT PaymentHub Indonesia (“the Company”) operates as a licensed Payment System Service Provider (Penyelenggara Jasa Sistem Pembayaran) under Bank Indonesia regulations. This policy governs the operation of our digital payment platform including mobile payments, QR code transactions, and e-wallet services.</w:t>
      </w:r>
    </w:p>
    <w:p>
      <w:pPr>
        <w:pStyle w:val="Heading1"/>
      </w:pPr>
      <w:r>
        <w:t xml:space="preserve">2. PAYMENT SYSTEM GOVERNANCE</w:t>
      </w:r>
    </w:p>
    <w:p>
      <w:pPr>
        <w:spacing w:after="120"/>
      </w:pPr>
      <w:r>
        <w:rPr>
          <w:sz w:val="22"/>
          <w:szCs w:val="22"/>
        </w:rPr>
        <w:t xml:space="preserve">The Company maintains a governance structure for payment operations: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Payment Operations Committee meets monthly to review transaction volumes, settlement accuracy, and system availability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Chief Technology Officer oversees all payment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availability target: 99.95% for all payment processing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Transaction processing capacity: minimum 1,000 TPS during peak hours.</w:t>
      </w:r>
    </w:p>
    <w:p>
      <w:pPr>
        <w:spacing w:after="120"/>
      </w:pPr>
      <w:r>
        <w:rPr>
          <w:sz w:val="22"/>
          <w:szCs w:val="22"/>
        </w:rPr>
        <w:t xml:space="preserve">All payment system changes undergo a formal change management process including impact assessment, testing in staging environment, and rollback procedures.</w:t>
      </w:r>
    </w:p>
    <w:p>
      <w:pPr>
        <w:pStyle w:val="Heading1"/>
      </w:pPr>
      <w:r>
        <w:t xml:space="preserve">3. CUSTOMER DATA HANDLING</w:t>
      </w:r>
    </w:p>
    <w:p>
      <w:pPr>
        <w:pStyle w:val="Heading2"/>
      </w:pPr>
      <w:r>
        <w:t xml:space="preserve">3.1 Data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Customer data is collected during onboarding via eKYC (electronic Know Your Customer).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Minimum data collected: full name, ID number (KTP/Passport), date of birth, phone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Biometric data (facial recognition) is used for identity verification.</w:t>
      </w:r>
    </w:p>
    <w:p>
      <w:pPr>
        <w:pStyle w:val="Heading2"/>
      </w:pPr>
      <w:r>
        <w:t xml:space="preserve">3.2 Data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customer data is stored in encrypted databases (AES-256) within Indonesian territory.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Payment credentials and tokens are stored in PCI-DSS certified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retention: Transaction records retained for 10 years per BI requirements.</w:t>
      </w:r>
    </w:p>
    <w:p>
      <w:pPr>
        <w:pStyle w:val="Heading2"/>
      </w:pPr>
      <w:r>
        <w:t xml:space="preserve">3.3 Data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 to customer data follows role-based access control (RBAC).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access to production customer data is logged and auditable.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extraction requests require approval from the Data Protection Officer.</w:t>
      </w:r>
    </w:p>
    <w:p>
      <w:pPr>
        <w:pStyle w:val="Heading1"/>
      </w:pPr>
      <w:r>
        <w:t xml:space="preserve">4. API SECURITY</w:t>
      </w:r>
    </w:p>
    <w:p>
      <w:pPr>
        <w:spacing w:after="120"/>
      </w:pPr>
      <w:r>
        <w:rPr>
          <w:sz w:val="22"/>
          <w:szCs w:val="22"/>
        </w:rPr>
        <w:t xml:space="preserve">The Company implements comprehensive API security measures: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APIs use OAuth 2.0 authentication with JWT tokens.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rate limiting: 100 requests/second per merchant, 1000 requests/second global.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API communications use TLS 1.3 encryption.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endpoints undergo security testing before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Webhook callbacks use HMAC-SHA256 signature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versioning follows semantic versioning (v1, v2) with 12-month deprecation notice.</w:t>
      </w:r>
    </w:p>
    <w:p>
      <w:pPr>
        <w:pStyle w:val="Heading1"/>
      </w:pPr>
      <w:r>
        <w:t xml:space="preserve">5. AML/CFT PROCEDURES</w:t>
      </w:r>
    </w:p>
    <w:p>
      <w:pPr>
        <w:spacing w:after="120"/>
      </w:pPr>
      <w:r>
        <w:rPr>
          <w:sz w:val="22"/>
          <w:szCs w:val="22"/>
        </w:rPr>
        <w:t xml:space="preserve">The Company implements Anti-Money Laundering and Counter-Terrorism Financing controls: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Customer Due Diligence (CDD) during onboarding and periodic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Enhanced Due Diligence (EDD) for high-risk customers and transactions above IDR 100 million.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Transaction monitoring system flags suspicious patterns in real-time.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Suspicious Transaction Reports (STR) are filed with PPATK within 3 business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Currency Transaction Reports (CTR) for transactions above IDR 500 million filed monthly.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Sanctions screening against OFAC, UN, and Indonesian national lists.</w:t>
      </w:r>
    </w:p>
    <w:p>
      <w:pPr>
        <w:pStyle w:val="Heading1"/>
      </w:pPr>
      <w:r>
        <w:t xml:space="preserve">6. TRANSACTION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fraud detection using machine learning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Transaction limits: IDR 20 million per transaction, IDR 100 million daily.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Two-factor authentication for transactions above IDR 5 million.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Device binding and fingerprint verification for mobile transactions.</w:t>
      </w:r>
    </w:p>
    <w:p>
      <w:pPr>
        <w:pStyle w:val="Heading1"/>
      </w:pPr>
      <w:r>
        <w:t xml:space="preserve">7. OPERATIONAL RESILIENCE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Primary data center in Jakarta with real-time replication to Surabaya DR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Automated failover with RTO of 30 minutes for payment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backup verification and quarterly DR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Incident response team available 24/7 for payment system disruptions.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2026-04-05T14:57:49.129Z</dcterms:created>
  <dcterms:modified xsi:type="dcterms:W3CDTF">2026-04-05T14:57:49.129Z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