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PT DATAGUARD SOLUTIONS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INFORMATION SECURITY MANAGEMENT
SYSTEM POLICY</w:t>
      </w:r>
    </w:p>
    <w:p>
      <w:pPr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ISMS-2024-003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Committee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20, 2025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ISMS SCOPE AND OBJECTIVES</w:t>
      </w:r>
    </w:p>
    <w:p>
      <w:pPr>
        <w:spacing w:after="120"/>
      </w:pPr>
      <w:r>
        <w:rPr>
          <w:sz w:val="22"/>
          <w:szCs w:val="22"/>
        </w:rPr>
        <w:t xml:space="preserve">PT DataGuard Solutions (“the Company”) establishes this Information Security Management System (ISMS) policy to protect the confidentiality, integrity, and availability of information assets. The ISMS scope covers: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information processing facilities at our Jakarta headquarters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Cloud-hosted services on AWS Asia Pacific (Singapore)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Remote work environments for all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Third-party data processing activities</w:t>
      </w:r>
    </w:p>
    <w:p>
      <w:pPr>
        <w:spacing w:after="120"/>
      </w:pPr>
      <w:r>
        <w:rPr>
          <w:sz w:val="22"/>
          <w:szCs w:val="22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ISO/IEC 27001:2022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Achieve zero critical security incidents per quarter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Maintain 99.9% availability for client-facing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Ensure compliance with applicable data protection regulations</w:t>
      </w:r>
    </w:p>
    <w:p>
      <w:pPr>
        <w:pStyle w:val="Heading1"/>
      </w:pPr>
      <w:r>
        <w:t xml:space="preserve">2. ORGANIZATIONAL CONTROLS (A.5)</w:t>
      </w:r>
    </w:p>
    <w:p>
      <w:pPr>
        <w:pStyle w:val="Heading2"/>
      </w:pPr>
      <w:r>
        <w:t xml:space="preserve">2.1 Information Security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This policy is reviewed annually and approved by the Management Committee.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employees acknowledge this policy upon onboarding and annually thereafter.</w:t>
      </w:r>
    </w:p>
    <w:p>
      <w:pPr>
        <w:pStyle w:val="Heading2"/>
      </w:pPr>
      <w:r>
        <w:t xml:space="preserve">2.2 Information Security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Chief Information Security Officer: overall ISMS responsibility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Information Security Managers: departmental security 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Protection Officer: GDPR and data privacy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employees: responsible for protecting information assets in their custody</w:t>
      </w:r>
    </w:p>
    <w:p>
      <w:pPr>
        <w:pStyle w:val="Heading2"/>
      </w:pPr>
      <w:r>
        <w:t xml:space="preserve">2.3 Threat Intelligence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The Company subscribes to threat intelligence feeds (MITRE ATT&amp;CK, FS-ISAC).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threat briefings are distributed to the security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Quarterly threat landscape reviews are presented to management.</w:t>
      </w:r>
    </w:p>
    <w:p>
      <w:pPr>
        <w:pStyle w:val="Heading2"/>
      </w:pPr>
      <w:r>
        <w:t xml:space="preserve">2.4 Supplier Relationships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Supplier security assessments are conducted before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security reviews for critical suppliers.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Contracts include information security requirements and audit rights.</w:t>
      </w:r>
    </w:p>
    <w:p>
      <w:pPr>
        <w:pStyle w:val="Heading1"/>
      </w:pPr>
      <w:r>
        <w:t xml:space="preserve">3. ACCESS CONTROL AND IDENTITY MANAGEMENT (A.8)</w:t>
      </w:r>
    </w:p>
    <w:p>
      <w:pPr>
        <w:pStyle w:val="Heading2"/>
      </w:pPr>
      <w:r>
        <w:t xml:space="preserve">3.1 Access Control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is granted based on the principle of least privilege.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access requires formal approval from the asset owner.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Access reviews are conducted quarterly for all systems.</w:t>
      </w:r>
    </w:p>
    <w:p>
      <w:pPr>
        <w:pStyle w:val="Heading2"/>
      </w:pPr>
      <w:r>
        <w:t xml:space="preserve">3.2 Identity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Centralized identity management via Azure Active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Multi-factor authentication for all systems and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Sign-On (SSO) for approved SaaS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Password policy: minimum 14 characters, complexity requirements, 90-day rotation.</w:t>
      </w:r>
    </w:p>
    <w:p>
      <w:pPr>
        <w:pStyle w:val="Heading2"/>
      </w:pPr>
      <w:r>
        <w:t xml:space="preserve">3.3 Privileged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Privileged accounts are managed through a PAM 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Just-in-time (JIT) access for administrative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privileged sessions are recorded and reviewed.</w:t>
      </w:r>
    </w:p>
    <w:p>
      <w:pPr>
        <w:pStyle w:val="Heading1"/>
      </w:pPr>
      <w:r>
        <w:t xml:space="preserve">4. ENCRYPTION AND DATA PROTECTION (A.8)</w:t>
      </w:r>
    </w:p>
    <w:p>
      <w:pPr>
        <w:pStyle w:val="Heading2"/>
      </w:pPr>
      <w:r>
        <w:t xml:space="preserve">4.1 Encryption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at rest: AES-256 encryption for all databases and file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in transit: TLS 1.3 for all external and internal communications.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Key management: HSM-based key storage with automated rotation every 90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Certificate management: automated provisioning and renewal via ACME protocol.</w:t>
      </w:r>
    </w:p>
    <w:p>
      <w:pPr>
        <w:pStyle w:val="Heading2"/>
      </w:pPr>
      <w:r>
        <w:t xml:space="preserve">4.2 Data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 1 (Public): No restrictions on disclosure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 2 (Internal): Available to all employees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 3 (Confidential): Restricted to authorized personnel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Level 4 (Restricted): Highest sensitivity, need-to-know basis only</w:t>
      </w:r>
    </w:p>
    <w:p>
      <w:pPr>
        <w:pStyle w:val="Heading2"/>
      </w:pPr>
      <w:r>
        <w:t xml:space="preserve">4.3 Data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encrypted backups with 30-day retention.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Weekly offsite backup replication.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backup restoration testing.</w:t>
      </w:r>
    </w:p>
    <w:p>
      <w:pPr>
        <w:pStyle w:val="Heading1"/>
      </w:pPr>
      <w:r>
        <w:t xml:space="preserve">5. DATA SUBJECT RIGHTS (GDPR Chapter III)</w:t>
      </w:r>
    </w:p>
    <w:p>
      <w:pPr>
        <w:pStyle w:val="Heading2"/>
      </w:pPr>
      <w:r>
        <w:t xml:space="preserve">5.1 Right of Access (Article 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subjects may request access to their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Requests are processed within 30 days via our Data Rights Portal.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Identity verification is required before data disclosure.</w:t>
      </w:r>
    </w:p>
    <w:p>
      <w:pPr>
        <w:pStyle w:val="Heading2"/>
      </w:pPr>
      <w:r>
        <w:t xml:space="preserve">5.2 Right to Rectification (Article 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subjects may request correction of inaccurate personal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Corrections are applied within 7 business days.</w:t>
      </w:r>
    </w:p>
    <w:p>
      <w:pPr>
        <w:pStyle w:val="Heading2"/>
      </w:pPr>
      <w:r>
        <w:t xml:space="preserve">5.3 Right to Erasure (Article 17)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Erasure requests are evaluated against legal retention obligations.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Approved erasure is executed within 30 days across all systems and backups.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 deletion certificate is provided to the data subject.</w:t>
      </w:r>
    </w:p>
    <w:p>
      <w:pPr>
        <w:pStyle w:val="Heading2"/>
      </w:pPr>
      <w:r>
        <w:t xml:space="preserve">5.4 Right to Data Portability (Article 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is provided in machine-readable format (JSON or CSV).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Transfer to another controller is facilitated upon request.</w:t>
      </w:r>
    </w:p>
    <w:p>
      <w:pPr>
        <w:pStyle w:val="Heading2"/>
      </w:pPr>
      <w:r>
        <w:t xml:space="preserve">5.5 Data Breach Notification (Article 33/34)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Supervisory authority notification within 72 hours of breach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Data subject notification without undue delay if high risk to rights.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Breach register maintained with all incident details.</w:t>
      </w:r>
    </w:p>
    <w:p>
      <w:pPr>
        <w:pStyle w:val="Heading1"/>
      </w:pPr>
      <w:r>
        <w:t xml:space="preserve">6. MONITORING AND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SIEM platform monitors all security events in real-time.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Monthly vulnerability scans and quarterly penetration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Annual internal ISMS audit conducted by the internal audit function.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External certification audit conducted annually by accredited body.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Management review meetings held quarterly.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2026-04-05T14:57:49.140Z</dcterms:created>
  <dcterms:modified xsi:type="dcterms:W3CDTF">2026-04-05T14:57:49.140Z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