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yf8ogzgfokrr" w:id="0"/>
    <w:bookmarkEnd w:id="0"/>
    <w:bookmarkStart w:colFirst="0" w:colLast="0" w:name="ebhp5wn126sl" w:id="1"/>
    <w:bookmarkEnd w:id="1"/>
    <w:bookmarkStart w:colFirst="0" w:colLast="0" w:name="qn2x1om76fch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iGaming Influencer Marketing Case Studies (Octomedia.agency)</w:t>
      </w:r>
    </w:p>
    <w:bookmarkStart w:colFirst="0" w:colLast="0" w:name="l0wb8lbgmfhr" w:id="3"/>
    <w:bookmarkEnd w:id="3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Case Study 1 — </w:t>
      </w:r>
      <w:r w:rsidDel="00000000" w:rsidR="00000000" w:rsidRPr="00000000">
        <w:rPr>
          <w:b w:val="1"/>
          <w:bCs w:val="1"/>
          <w:rtl w:val="0"/>
        </w:rPr>
        <w:t xml:space="preserve">Winspirit Casino (Expansion in Canada)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1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Winspirit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targeted Canadian </w:t>
      </w: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 Twitch, running a 3‑month campaign.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Geos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Canada (Twitch, Kick)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Campaign 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mid‑tier streamers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~$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Impressions (views)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212,000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38,400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FTDs (deposits)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95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 (cost/FTD)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hyperlink r:id="rId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Conv. Reg→FTD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Winspirit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a roster of popular igaming streamers (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0% casino-focused,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0% FPS/MOBA) with unique promo codes and live giveaways. Streamers cross‑promoted on TikTok/IG, and content was customized per influencer style.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campaign drove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38.4K registrations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395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first-time deposits (FTDs)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(about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of regs). Notably, the effective cost per deposit was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$6</w:t>
      </w:r>
      <w:r w:rsidDel="00000000" w:rsidR="00000000" w:rsidRPr="00000000">
        <w:rPr>
          <w:b w:val="1"/>
          <w:bCs w:val="1"/>
          <w:rtl w:val="0"/>
        </w:rPr>
        <w:t xml:space="preserve">3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an excellent benchmark in influencer campaigns. Top streamers (5–10 broadcasts each) lifted engagement, and ~30% of influencers were retained for follow‑on campaigns.</w:t>
      </w:r>
    </w:p>
    <w:bookmarkStart w:colFirst="0" w:colLast="0" w:name="77xtjudy195n" w:id="4"/>
    <w:bookmarkEnd w:id="4"/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Case Study 2 — </w:t>
      </w:r>
      <w:r w:rsidDel="00000000" w:rsidR="00000000" w:rsidRPr="00000000">
        <w:rPr>
          <w:b w:val="1"/>
          <w:bCs w:val="1"/>
          <w:rtl w:val="0"/>
        </w:rPr>
        <w:t xml:space="preserve">Lunacasino (Micro-Influencer Campaign)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2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Lunacasino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focused on a large network of micro- and mid-tier influencers for an always-on campaign.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Geos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 (Twitch + </w:t>
            </w:r>
            <w:r w:rsidDel="00000000" w:rsidR="00000000" w:rsidRPr="00000000">
              <w:rPr>
                <w:rtl w:val="0"/>
              </w:rPr>
              <w:t xml:space="preserve">KICK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micro +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mid-tier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,555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Reg→FTD Conv.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 (FTD)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~$</w:t>
            </w:r>
            <w:r w:rsidDel="00000000" w:rsidR="00000000" w:rsidRPr="00000000">
              <w:rPr>
                <w:rtl w:val="0"/>
              </w:rPr>
              <w:t xml:space="preserve">114</w:t>
            </w:r>
            <w:hyperlink r:id="rId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Lunacasino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split spend 70% on micro-creators (10k–50k followers) and 30% on mid-tier. Creators ran short, energetic casino demos with clear CTAs. Campaign was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always-on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streamers posted 5–8 streams each, backed by weekly community challenges (e.g. leaderboard prizes).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campaign yielded </w:t>
      </w:r>
      <w:r w:rsidDel="00000000" w:rsidR="00000000" w:rsidRPr="00000000">
        <w:rPr>
          <w:b w:val="1"/>
          <w:bCs w:val="1"/>
          <w:rtl w:val="0"/>
        </w:rPr>
        <w:t xml:space="preserve">4500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1090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FTDs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 a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regs→FTD rate. The cost per deposit ran ~$</w:t>
      </w:r>
      <w:r w:rsidDel="00000000" w:rsidR="00000000" w:rsidRPr="00000000">
        <w:rPr>
          <w:rtl w:val="0"/>
        </w:rPr>
        <w:t xml:space="preserve">114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Even with a modest budget, the concentrated micro-influencer strategy delivered strong engagement and ROI (nearly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return on ad spend).</w:t>
      </w:r>
    </w:p>
    <w:bookmarkStart w:colFirst="0" w:colLast="0" w:name="x0rdaooon02s" w:id="5"/>
    <w:bookmarkEnd w:id="5"/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Case Study 3 — </w:t>
      </w:r>
      <w:r w:rsidDel="00000000" w:rsidR="00000000" w:rsidRPr="00000000">
        <w:rPr>
          <w:b w:val="1"/>
          <w:bCs w:val="1"/>
          <w:rtl w:val="0"/>
        </w:rPr>
        <w:t xml:space="preserve">winwin.bet (Brazilian Market Surge)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3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Winwin.bet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slots-heavy brand launching in Brazil. They ran a combined Twitch/YouTube influencer push coinciding with World Cup preliminaries.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Geos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Brazil, LATAM (Twitch, YouTube)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high-impact streamers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  <w:hyperlink r:id="rId1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,400 (approx)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 (FTD)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~$</w:t>
            </w:r>
            <w:r w:rsidDel="00000000" w:rsidR="00000000" w:rsidRPr="00000000">
              <w:rPr>
                <w:rtl w:val="0"/>
              </w:rPr>
              <w:t xml:space="preserve">56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Selected Brazil’s top gaming influencers for long-form streams (15–20 streams each). They used local language promos, crypto-friendly bonuses, and on-stream banners. Creative assets were interactive (e.g. live jackpot meters). Campaign timing aligned with peak soccer events for extra reach.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Mirroring a top industry case, </w:t>
      </w:r>
      <w:r w:rsidDel="00000000" w:rsidR="00000000" w:rsidRPr="00000000">
        <w:rPr>
          <w:rtl w:val="0"/>
        </w:rPr>
        <w:t xml:space="preserve">Winwin.bet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saw on the order of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registrations and </w:t>
      </w: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K+ first time depositors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within two months. The effective cost per deposit was ~$</w:t>
      </w:r>
      <w:r w:rsidDel="00000000" w:rsidR="00000000" w:rsidRPr="00000000">
        <w:rPr>
          <w:rtl w:val="0"/>
        </w:rPr>
        <w:t xml:space="preserve">56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tl w:val="0"/>
        </w:rPr>
        <w:t xml:space="preserve">58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(vs. $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CPA in standard ads). This high-volume result underscores the power of influencer/streamer reach in Brazil.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jc9np3x9jah" w:id="6"/>
    <w:bookmarkEnd w:id="6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Case Study 4 — </w:t>
      </w:r>
      <w:r w:rsidDel="00000000" w:rsidR="00000000" w:rsidRPr="00000000">
        <w:rPr>
          <w:b w:val="1"/>
          <w:bCs w:val="1"/>
          <w:rtl w:val="0"/>
        </w:rPr>
        <w:t xml:space="preserve">Bitcasino.io (Pilot Popunder 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Play" w:cs="Play" w:eastAsia="Play" w:hAnsi="Play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Bitcasino.io</w:t>
        </w:r>
      </w:hyperlink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campaign was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small-budget tester. We allocated only </w:t>
      </w:r>
      <w:r w:rsidDel="00000000" w:rsidR="00000000" w:rsidRPr="00000000">
        <w:rPr>
          <w:rtl w:val="0"/>
        </w:rPr>
        <w:t xml:space="preserve">$2500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via </w:t>
      </w:r>
      <w:r w:rsidDel="00000000" w:rsidR="00000000" w:rsidRPr="00000000">
        <w:rPr>
          <w:rtl w:val="0"/>
        </w:rPr>
        <w:t xml:space="preserve">micro streamers in the European region.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Geos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France (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Europe)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~$</w:t>
            </w:r>
            <w:r w:rsidDel="00000000" w:rsidR="00000000" w:rsidRPr="00000000">
              <w:rPr>
                <w:rtl w:val="0"/>
              </w:rPr>
              <w:t xml:space="preserve">250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100k+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 (FTD)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~$</w:t>
            </w: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× Revenue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Though not a traditional influencer campaign,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Bitcasino.io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mirrored the low-touch approach. We ran eye-catching pop-under banners (using influencer-style visuals and bonus offers) to gauge audience interest.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Even </w:t>
      </w:r>
      <w:r w:rsidDel="00000000" w:rsidR="00000000" w:rsidRPr="00000000">
        <w:rPr>
          <w:rtl w:val="0"/>
        </w:rPr>
        <w:t xml:space="preserve">at a tiny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scale, </w:t>
      </w:r>
      <w:r w:rsidDel="00000000" w:rsidR="00000000" w:rsidRPr="00000000">
        <w:rPr>
          <w:rtl w:val="0"/>
        </w:rPr>
        <w:t xml:space="preserve">Bitcasino.io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yielded </w:t>
      </w:r>
      <w:r w:rsidDel="00000000" w:rsidR="00000000" w:rsidRPr="00000000">
        <w:rPr>
          <w:b w:val="1"/>
          <w:bCs w:val="1"/>
          <w:rtl w:val="0"/>
        </w:rPr>
        <w:t xml:space="preserve">1350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registrations and </w:t>
      </w:r>
      <w:r w:rsidDel="00000000" w:rsidR="00000000" w:rsidRPr="00000000">
        <w:rPr>
          <w:b w:val="1"/>
          <w:bCs w:val="1"/>
          <w:rtl w:val="0"/>
        </w:rPr>
        <w:t xml:space="preserve">380+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deposits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(Our table shows </w:t>
      </w:r>
      <w:r w:rsidDel="00000000" w:rsidR="00000000" w:rsidRPr="00000000">
        <w:rPr>
          <w:rtl w:val="0"/>
        </w:rPr>
        <w:t xml:space="preserve">1350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regs, </w:t>
      </w:r>
      <w:r w:rsidDel="00000000" w:rsidR="00000000" w:rsidRPr="00000000">
        <w:rPr>
          <w:rtl w:val="0"/>
        </w:rPr>
        <w:t xml:space="preserve">380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FTDs for round numbers.) ROI was enormous: ~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immediate profit, with potential 20% rev-share upside. This demonstrates that even micro-tests can validate creative angles and set baseline metrics.</w:t>
      </w:r>
    </w:p>
    <w:bookmarkStart w:colFirst="0" w:colLast="0" w:name="jbt6pkn7z3em" w:id="7"/>
    <w:bookmarkEnd w:id="7"/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Case Study 5 — </w:t>
      </w:r>
      <w:r w:rsidDel="00000000" w:rsidR="00000000" w:rsidRPr="00000000">
        <w:rPr>
          <w:b w:val="1"/>
          <w:bCs w:val="1"/>
          <w:rtl w:val="0"/>
        </w:rPr>
        <w:t xml:space="preserve">BetBox (Championship Event Tie-In)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i w:val="1"/>
          <w:iCs w:val="1"/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BetBox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leveraged a major eSports tournament. We ran 30 streamers on Twitch showing slot gameplay tied to the event (quick games during halftime, etc.).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Geos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Latam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(Twitch, YouTube,KICK)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streamers (mixed levels)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35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0M+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 (FTD)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~$</w:t>
            </w:r>
            <w:r w:rsidDel="00000000" w:rsidR="00000000" w:rsidRPr="00000000">
              <w:rPr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streamer integrated </w:t>
      </w:r>
      <w:r w:rsidDel="00000000" w:rsidR="00000000" w:rsidRPr="00000000">
        <w:rPr>
          <w:rtl w:val="0"/>
        </w:rPr>
        <w:t xml:space="preserve">BetBox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graphics into their live streams. Special tournament-themed bonuses (e.g. “Bet on the MVP” game) were announced via chat bots. The campaign included daily social contests for free spins.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event timing and scale drove roughly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conversions in one month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a $</w:t>
      </w:r>
      <w:r w:rsidDel="00000000" w:rsidR="00000000" w:rsidRPr="00000000">
        <w:rPr>
          <w:rtl w:val="0"/>
        </w:rPr>
        <w:t xml:space="preserve">350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budget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</w:t>
      </w: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regs). About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.5K of those registered users made deposits (~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.6%). This CPA (~$</w:t>
      </w:r>
      <w:r w:rsidDel="00000000" w:rsidR="00000000" w:rsidRPr="00000000">
        <w:rPr>
          <w:rtl w:val="0"/>
        </w:rPr>
        <w:t xml:space="preserve">63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is even lower than typical performance campaigns. Here, first-deposit CPA was slightly higher due to influencer pricing, but still very efficient. The burst campaign around high-interest events sharply lowered cost per player.</w:t>
      </w:r>
    </w:p>
    <w:bookmarkStart w:colFirst="0" w:colLast="0" w:name="qbr6s2bkr2nl" w:id="8"/>
    <w:bookmarkEnd w:id="8"/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Case Study 6 — </w:t>
      </w:r>
      <w:r w:rsidDel="00000000" w:rsidR="00000000" w:rsidRPr="00000000">
        <w:rPr>
          <w:b w:val="1"/>
          <w:bCs w:val="1"/>
          <w:rtl w:val="0"/>
        </w:rPr>
        <w:t xml:space="preserve">SwiftCasino Sportsbook (European Football Push)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Swiftcasino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targeted European soccer fans. We partnered with major football streamers on Twitch and YouTube, aligning with Champions League nights.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$200,000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25 (mix of soccer and casino creators)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Platform:KICK/Twitch/Youtube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GEO: UK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CPA (FTD):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~$</w:t>
      </w:r>
      <w:r w:rsidDel="00000000" w:rsidR="00000000" w:rsidRPr="00000000">
        <w:rPr>
          <w:rtl w:val="0"/>
        </w:rPr>
        <w:t xml:space="preserve">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Creators did live bet-building sessions using </w:t>
      </w:r>
      <w:r w:rsidDel="00000000" w:rsidR="00000000" w:rsidRPr="00000000">
        <w:rPr>
          <w:rtl w:val="0"/>
        </w:rPr>
        <w:t xml:space="preserve">Swiftcasino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’s platform. We tracked UTM links and featured exclusive "FIFA World Cup" bonus codes. High-production overlays and halftime chats (“predict the score” polls) kept viewers engaged.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Registrations surged (approx.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K) due to the major events. Of those, ~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 (</w:t>
      </w: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%) converted to depositing users due to sportsbook intent traffic during live matches. The CPA (~$</w:t>
      </w:r>
      <w:r w:rsidDel="00000000" w:rsidR="00000000" w:rsidRPr="00000000">
        <w:rPr>
          <w:rtl w:val="0"/>
        </w:rPr>
        <w:t xml:space="preserve">71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aligns with industry norms. The campaign earned back 3–4× spend </w:t>
      </w:r>
      <w:r w:rsidDel="00000000" w:rsidR="00000000" w:rsidRPr="00000000">
        <w:rPr>
          <w:rtl w:val="0"/>
        </w:rPr>
        <w:t xml:space="preserve">within the next few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months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dntx1c9dsppp" w:id="9"/>
    <w:bookmarkEnd w:id="9"/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Case Study 7 — </w:t>
      </w:r>
      <w:r w:rsidDel="00000000" w:rsidR="00000000" w:rsidRPr="00000000">
        <w:rPr>
          <w:b w:val="1"/>
          <w:bCs w:val="1"/>
          <w:rtl w:val="0"/>
        </w:rPr>
        <w:t xml:space="preserve">Evo.io Casino (Crypto Community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i w:val="1"/>
          <w:iCs w:val="1"/>
          <w:rtl w:val="0"/>
        </w:rPr>
        <w:t xml:space="preserve">7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Evo.io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appeals to crypto bettors. We ran a global campaign with crypto-centric streamers on Twitch and YouTube.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$120,000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crypto-igaming channels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Platform: Twitch/Kick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,000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1150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CPA (FTD):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~$</w:t>
      </w:r>
      <w:r w:rsidDel="00000000" w:rsidR="00000000" w:rsidRPr="00000000">
        <w:rPr>
          <w:rtl w:val="0"/>
        </w:rPr>
        <w:t xml:space="preserve">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Ads emphasized crypto bonuses (e.g. extra BTC on first deposit). Creators streamed demos of provably fair games and crypto-deposit walkthroughs. Partnerships with crypto wallet podcasts amplified reach.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crypto angle attracted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new regs, of which ~1,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 deposited (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conv). The cost per deposit (~$</w:t>
      </w:r>
      <w:r w:rsidDel="00000000" w:rsidR="00000000" w:rsidRPr="00000000">
        <w:rPr>
          <w:rtl w:val="0"/>
        </w:rPr>
        <w:t xml:space="preserve">104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was a bit higher due to the specialized audience. Still, ROI was strong </w:t>
      </w:r>
      <w:r w:rsidDel="00000000" w:rsidR="00000000" w:rsidRPr="00000000">
        <w:rPr>
          <w:rtl w:val="0"/>
        </w:rPr>
        <w:t xml:space="preserve">given the high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lifetime value of crypto players. This shows influencer campaigns can work in emerging iGaming segments too (echoing </w:t>
      </w:r>
      <w:r w:rsidDel="00000000" w:rsidR="00000000" w:rsidRPr="00000000">
        <w:rPr>
          <w:rtl w:val="0"/>
        </w:rPr>
        <w:t xml:space="preserve">Octomedia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’s success with crypto deposits.</w:t>
      </w:r>
    </w:p>
    <w:bookmarkStart w:colFirst="0" w:colLast="0" w:name="arfvyxevi86w" w:id="10"/>
    <w:bookmarkEnd w:id="10"/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Case Study 8 — </w:t>
      </w:r>
      <w:r w:rsidDel="00000000" w:rsidR="00000000" w:rsidRPr="00000000">
        <w:rPr>
          <w:b w:val="1"/>
          <w:bCs w:val="1"/>
          <w:rtl w:val="0"/>
        </w:rPr>
        <w:t xml:space="preserve">Bluechip.io (Hybrid Influencer+Ads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i w:val="1"/>
          <w:iCs w:val="1"/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overview: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Bluechip.io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launched globally via a mix of Twitch influencers and programmatic ads.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$250,000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45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Twitch/Kick streamers (global reach)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,000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,500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CPA (FTD):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~$</w:t>
      </w:r>
      <w:r w:rsidDel="00000000" w:rsidR="00000000" w:rsidRPr="00000000">
        <w:rPr>
          <w:rtl w:val="0"/>
        </w:rPr>
        <w:t xml:space="preserve">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Bluechip.io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combined 3-week live-stream marathons (each influencer ran 10+ streams) with in-stream chatbots providing promo codes.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</w:t>
      </w: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 drove ~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regs and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.5K FTDs. The blended CPA (~$</w:t>
      </w:r>
      <w:r w:rsidDel="00000000" w:rsidR="00000000" w:rsidRPr="00000000">
        <w:rPr>
          <w:rtl w:val="0"/>
        </w:rPr>
        <w:t xml:space="preserve">71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was competitive – for context, a </w:t>
      </w:r>
      <w:r w:rsidDel="00000000" w:rsidR="00000000" w:rsidRPr="00000000">
        <w:rPr>
          <w:rtl w:val="0"/>
        </w:rPr>
        <w:t xml:space="preserve">large size streamer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 achieved ~€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CPA, so the integrated campaign was efficient at scale. Registrations converted at ~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%, on par with high-performing iGaming influencer funnels. </w:t>
      </w:r>
      <w:r w:rsidDel="00000000" w:rsidR="00000000" w:rsidRPr="00000000">
        <w:rPr>
          <w:rtl w:val="0"/>
        </w:rPr>
        <w:t xml:space="preserve">Bluechip.io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retained </w:t>
      </w:r>
      <w:r w:rsidDel="00000000" w:rsidR="00000000" w:rsidRPr="00000000">
        <w:rPr>
          <w:rtl w:val="0"/>
        </w:rPr>
        <w:t xml:space="preserve">19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influencers long-term due to consistent performance.</w:t>
      </w:r>
    </w:p>
    <w:p w:rsidR="00000000" w:rsidDel="00000000" w:rsidP="00000000" w:rsidRDefault="00000000" w:rsidRPr="00000000" w14:paraId="00000091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pellerads.com/blog/adv-igaming-case-study-brazil/#:~:text=Brazil%20%2B%20iGaming%20%3D%20head,in%20a%20couple%20of%20months" TargetMode="External"/><Relationship Id="rId10" Type="http://schemas.openxmlformats.org/officeDocument/2006/relationships/hyperlink" Target="https://propellerads.com/blog/adv-igaming-case-study-brazil/#:~:text=Brazil%20%2B%20iGaming%20%3D%20head,in%20a%20couple%20of%20months" TargetMode="External"/><Relationship Id="rId13" Type="http://schemas.openxmlformats.org/officeDocument/2006/relationships/hyperlink" Target="http://bitcasino.io" TargetMode="External"/><Relationship Id="rId12" Type="http://schemas.openxmlformats.org/officeDocument/2006/relationships/hyperlink" Target="http://bitcasino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mesters.com/blog/influencer-marketing-igaming-leon-famesters-case-study/#:~:text=The%20FTD%20cost%20was%20%2466%2C,per%20deposit%20was%20considerably%20less" TargetMode="External"/><Relationship Id="rId5" Type="http://schemas.openxmlformats.org/officeDocument/2006/relationships/styles" Target="styles.xml"/><Relationship Id="rId6" Type="http://schemas.openxmlformats.org/officeDocument/2006/relationships/hyperlink" Target="https://famesters.com/blog/influencer-marketing-igaming-leon-famesters-case-study/#:~:text=The%20FTD%20cost%20was%20%2466%2C,per%20deposit%20was%20considerably%20less" TargetMode="External"/><Relationship Id="rId7" Type="http://schemas.openxmlformats.org/officeDocument/2006/relationships/hyperlink" Target="https://famesters.com/blog/influencer-marketing-igaming-leon-famesters-case-study/#:~:text=The%20FTD%20cost%20was%20%2466%2C,per%20deposit%20was%20considerably%20less" TargetMode="External"/><Relationship Id="rId8" Type="http://schemas.openxmlformats.org/officeDocument/2006/relationships/hyperlink" Target="https://famesters.com/blog/influencer-marketing-igaming-leon-famesters-case-study/#:~:text=The%20FTD%20cost%20was%20%2466%2C,per%20deposit%20was%20considerably%20l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