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Microsoft JhengHei"/>
          <w:b/>
          <w:color w:val="0F172A"/>
          <w:sz w:val="52"/>
        </w:rPr>
        <w:t>台積電跨市場定價與隔夜訊號研究</w:t>
      </w:r>
    </w:p>
    <w:p>
      <w:pPr>
        <w:jc w:val="center"/>
      </w:pPr>
      <w:r>
        <w:rPr>
          <w:rFonts w:ascii="Calibri" w:hAnsi="Calibri" w:eastAsia="Microsoft JhengHei"/>
          <w:color w:val="334155"/>
          <w:sz w:val="28"/>
        </w:rPr>
        <w:t>ADR、費城半導體與匯率之領先資訊：預測、執行假設與回測穩健性</w:t>
      </w:r>
    </w:p>
    <w:p>
      <w:pPr>
        <w:jc w:val="center"/>
      </w:pPr>
      <w:r>
        <w:rPr>
          <w:rFonts w:ascii="Calibri" w:hAnsi="Calibri" w:eastAsia="Microsoft JhengHei"/>
          <w:i/>
          <w:color w:val="64748B"/>
          <w:sz w:val="20"/>
        </w:rPr>
        <w:t>量化交易期末專題報告 · AlphaEdge</w:t>
      </w:r>
    </w:p>
    <w:p/>
    <w:p>
      <w:pPr>
        <w:jc w:val="center"/>
      </w:pPr>
      <w:r>
        <w:rPr>
          <w:sz w:val="22"/>
        </w:rPr>
        <w:t>報告產製日期：2026 年 05 月 09 日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本報告顯示 TSM ADR、費城半導體（SOX）與美元／台幣等隔夜領先變數對同日報酬具統計預測力，但在本研究測試之整張制、費後實務執行下，並未呈現穩健可交易 alpha。向量化全額持有回測僅作診斷對照，不得單獨解讀為獲利主張。Ridge 為可解釋之線性預測基準；較簡單之方向規則在相同執行假設下亦可能具較佳實現績效。核心發現為統計可預測性與可執行交易績效之間的落差。</w:t>
      </w:r>
    </w:p>
    <w:p>
      <w:r>
        <w:rPr>
          <w:i/>
        </w:rPr>
        <w:t>聲明：本文件僅供學術與課程專題展示，不構成投資建議；實務交易含流動性、稅費、法規與執行落差。</w:t>
      </w:r>
    </w:p>
    <w:p>
      <w:pPr>
        <w:pStyle w:val="Heading1"/>
      </w:pPr>
      <w:r>
        <w:t>一、研究問題與經濟直覺</w:t>
      </w:r>
    </w:p>
    <w:p>
      <w:r>
        <w:t>研究問題：在美國隔夜資訊已入價的前提下，TSM／SOX／USD-TWD 是否對台股掛牌之台積電同日報酬具有可預測之領先成分？經濟直覺：ADR 與半導體板塊反映全球需求與風險偏好，匯率則連結跨市定價；理論上可作為台股開盤前可觀測之資訊集合。跨市場文獻常討論價格發現與領先-落後關係（price discovery / lead-lag）；本研究將「隔夜可得之美國資訊」視為對台股同日報酬之候選領先集合，並以嚴格日期對齊與 placebo 檢查佐證非單純對齊誤差。</w:t>
      </w:r>
    </w:p>
    <w:p>
      <w:pPr>
        <w:pStyle w:val="Heading1"/>
      </w:pPr>
      <w:r>
        <w:t>二、資料、時間對齊與特徵</w:t>
      </w:r>
    </w:p>
    <w:p>
      <w:r>
        <w:t>訓練集：2020 曆年；驗證集：2021（Ridge lambda）；測試集：2022-01-01 至最後一筆台股收盤日 2026-04-24（與 run_meta 之 test_end_effective 一致）。資料下載上界可記為 2026-04-25（下載區間與最後可用交易日可能差一日）。特徵為嚴格早於台股當日之最後美國交易日報酬，以避免前視。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1E3A5F" w:val="clear"/>
          </w:tcPr>
          <w:p>
            <w:r>
              <w:rPr>
                <w:b/>
                <w:color w:val="FFFFFF"/>
              </w:rPr>
              <w:t>資料集欄位</w:t>
            </w:r>
          </w:p>
        </w:tc>
        <w:tc>
          <w:tcPr>
            <w:tcW w:type="dxa" w:w="6803"/>
            <w:shd w:fill="1E3A5F" w:val="clear"/>
          </w:tcPr>
          <w:p>
            <w:r>
              <w:rPr>
                <w:b/>
                <w:color w:val="FFFFFF"/>
              </w:rPr>
              <w:t>內容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資料下載／請求上界</w:t>
            </w:r>
          </w:p>
        </w:tc>
        <w:tc>
          <w:tcPr>
            <w:tcW w:type="dxa" w:w="6803"/>
            <w:shd w:fill="F8FAFC" w:val="clear"/>
          </w:tcPr>
          <w:p>
            <w:r>
              <w:t>見 run_meta：data_end_requested = 2026-04-25</w:t>
            </w:r>
          </w:p>
        </w:tc>
      </w:tr>
      <w:tr>
        <w:tc>
          <w:tcPr>
            <w:tcW w:type="dxa" w:w="2551"/>
          </w:tcPr>
          <w:p>
            <w:r>
              <w:t>訓練集</w:t>
            </w:r>
          </w:p>
        </w:tc>
        <w:tc>
          <w:tcPr>
            <w:tcW w:type="dxa" w:w="6803"/>
          </w:tcPr>
          <w:p>
            <w:r>
              <w:t>2020-01-01 ~ 2020-12-31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驗證集</w:t>
            </w:r>
          </w:p>
        </w:tc>
        <w:tc>
          <w:tcPr>
            <w:tcW w:type="dxa" w:w="6803"/>
            <w:shd w:fill="F8FAFC" w:val="clear"/>
          </w:tcPr>
          <w:p>
            <w:r>
              <w:t>2021-01-01 ~ 2021-12-31</w:t>
            </w:r>
          </w:p>
        </w:tc>
      </w:tr>
      <w:tr>
        <w:tc>
          <w:tcPr>
            <w:tcW w:type="dxa" w:w="2551"/>
          </w:tcPr>
          <w:p>
            <w:r>
              <w:t>測試集（OOS）</w:t>
            </w:r>
          </w:p>
        </w:tc>
        <w:tc>
          <w:tcPr>
            <w:tcW w:type="dxa" w:w="6803"/>
          </w:tcPr>
          <w:p>
            <w:r>
              <w:t>2022-01-01 ~ 2026-04-24（最後有效台股收盤）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資料來源</w:t>
            </w:r>
          </w:p>
        </w:tc>
        <w:tc>
          <w:tcPr>
            <w:tcW w:type="dxa" w:w="6803"/>
            <w:shd w:fill="F8FAFC" w:val="clear"/>
          </w:tcPr>
          <w:p>
            <w:r>
              <w:t>台股：專案 SQLite；美股／匯率：yfinance 日線、auto_adjust</w:t>
            </w:r>
          </w:p>
        </w:tc>
      </w:tr>
      <w:tr>
        <w:tc>
          <w:tcPr>
            <w:tcW w:type="dxa" w:w="2551"/>
          </w:tcPr>
          <w:p>
            <w:r>
              <w:t>基準</w:t>
            </w:r>
          </w:p>
        </w:tc>
        <w:tc>
          <w:tcPr>
            <w:tcW w:type="dxa" w:w="6803"/>
          </w:tcPr>
          <w:p>
            <w:r>
              <w:t>主基準：2330.TW buy-and-hold；0050 為可選大盤代理</w:t>
            </w:r>
          </w:p>
        </w:tc>
      </w:tr>
    </w:tbl>
    <w:p/>
    <w:p>
      <w:pPr>
        <w:pStyle w:val="Heading1"/>
      </w:pPr>
      <w:r>
        <w:t>三、執行時間點與報酬口徑（限制）</w:t>
      </w:r>
    </w:p>
    <w:p>
      <w:r>
        <w:t>美國領先變數在台股開盤前可觀測；若以「可執行持有期」對齊，標的報酬應優先採台股開盤至收盤（open-to-close）。本報告仍使用 close-to-close 作為日頻持有期 proxy（與常用收盤資料對齊）。限制：close-to-close 含隔夜缺口，其中一部分在開盤時可能已無法完整交易；故統計 IC 與排序仍可成立，但不保證等同 open-to-close 可實現報酬。執行摩擦與撮合細節之一般討論可參 Harris（2003）微結構文獻；本報告仍以收對收 proxy 為共同規格。實務化下一步應改以開收報酬或開盤成交價重估策略。</w:t>
      </w:r>
    </w:p>
    <w:p>
      <w:pPr>
        <w:pStyle w:val="Heading1"/>
      </w:pPr>
      <w:r>
        <w:t>四、模型設計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1E3A5F" w:val="clear"/>
          </w:tcPr>
          <w:p>
            <w:r>
              <w:rPr>
                <w:b/>
                <w:color w:val="FFFFFF"/>
              </w:rPr>
              <w:t>資料代號（yfinance）</w:t>
            </w:r>
          </w:p>
        </w:tc>
        <w:tc>
          <w:tcPr>
            <w:tcW w:type="dxa" w:w="6803"/>
            <w:shd w:fill="1E3A5F" w:val="clear"/>
          </w:tcPr>
          <w:p>
            <w:r>
              <w:rPr>
                <w:b/>
                <w:color w:val="FFFFFF"/>
              </w:rPr>
              <w:t>角色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TSM</w:t>
            </w:r>
          </w:p>
        </w:tc>
        <w:tc>
          <w:tcPr>
            <w:tcW w:type="dxa" w:w="6803"/>
            <w:shd w:fill="F8FAFC" w:val="clear"/>
          </w:tcPr>
          <w:p>
            <w:r>
              <w:t>台積電 ADR，美國前一日報酬</w:t>
            </w:r>
          </w:p>
        </w:tc>
      </w:tr>
      <w:tr>
        <w:tc>
          <w:tcPr>
            <w:tcW w:type="dxa" w:w="2551"/>
          </w:tcPr>
          <w:p>
            <w:r>
              <w:t>2330.TW</w:t>
            </w:r>
          </w:p>
        </w:tc>
        <w:tc>
          <w:tcPr>
            <w:tcW w:type="dxa" w:w="6803"/>
          </w:tcPr>
          <w:p>
            <w:r>
              <w:t>台股標的與主基準 buy-and-hold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^SOX</w:t>
            </w:r>
          </w:p>
        </w:tc>
        <w:tc>
          <w:tcPr>
            <w:tcW w:type="dxa" w:w="6803"/>
            <w:shd w:fill="F8FAFC" w:val="clear"/>
          </w:tcPr>
          <w:p>
            <w:r>
              <w:t>費城半導體指數</w:t>
            </w:r>
          </w:p>
        </w:tc>
      </w:tr>
      <w:tr>
        <w:tc>
          <w:tcPr>
            <w:tcW w:type="dxa" w:w="2551"/>
          </w:tcPr>
          <w:p>
            <w:r>
              <w:t>TWD=X</w:t>
            </w:r>
          </w:p>
        </w:tc>
        <w:tc>
          <w:tcPr>
            <w:tcW w:type="dxa" w:w="6803"/>
          </w:tcPr>
          <w:p>
            <w:r>
              <w:t>USD/TWD 即期（簡化代理）</w:t>
            </w:r>
          </w:p>
        </w:tc>
      </w:tr>
    </w:tbl>
    <w:p/>
    <w:p>
      <w:r>
        <w:t>主模型為含截距之 Ridge 迴歸（L2 僅施加於斜率）。lambda 由 2021 驗證集 MSE 選出後，於訓練+驗證重估係數，再於測試集評分。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E3A5F" w:val="clear"/>
          </w:tcPr>
          <w:p>
            <w:r>
              <w:rPr>
                <w:b/>
                <w:color w:val="FFFFFF"/>
              </w:rPr>
              <w:t>Ridge 係數（訓練+驗證重估後）</w:t>
            </w:r>
          </w:p>
        </w:tc>
        <w:tc>
          <w:tcPr>
            <w:tcW w:type="dxa" w:w="5102"/>
            <w:shd w:fill="1E3A5F" w:val="clear"/>
          </w:tcPr>
          <w:p>
            <w:r>
              <w:rPr>
                <w:b/>
                <w:color w:val="FFFFFF"/>
              </w:rPr>
              <w:t>數值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intercept</w:t>
            </w:r>
          </w:p>
        </w:tc>
        <w:tc>
          <w:tcPr>
            <w:tcW w:type="dxa" w:w="5102"/>
            <w:shd w:fill="F8FAFC" w:val="clear"/>
          </w:tcPr>
          <w:p>
            <w:r>
              <w:t>-0.000053</w:t>
            </w:r>
          </w:p>
        </w:tc>
      </w:tr>
      <w:tr>
        <w:tc>
          <w:tcPr>
            <w:tcW w:type="dxa" w:w="3402"/>
          </w:tcPr>
          <w:p>
            <w:r>
              <w:t>r_tsm_us</w:t>
            </w:r>
          </w:p>
        </w:tc>
        <w:tc>
          <w:tcPr>
            <w:tcW w:type="dxa" w:w="5102"/>
          </w:tcPr>
          <w:p>
            <w:r>
              <w:t>0.265687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r_sox_us</w:t>
            </w:r>
          </w:p>
        </w:tc>
        <w:tc>
          <w:tcPr>
            <w:tcW w:type="dxa" w:w="5102"/>
            <w:shd w:fill="F8FAFC" w:val="clear"/>
          </w:tcPr>
          <w:p>
            <w:r>
              <w:t>-0.041514</w:t>
            </w:r>
          </w:p>
        </w:tc>
      </w:tr>
      <w:tr>
        <w:tc>
          <w:tcPr>
            <w:tcW w:type="dxa" w:w="3402"/>
          </w:tcPr>
          <w:p>
            <w:r>
              <w:t>r_twd</w:t>
            </w:r>
          </w:p>
        </w:tc>
        <w:tc>
          <w:tcPr>
            <w:tcW w:type="dxa" w:w="5102"/>
          </w:tcPr>
          <w:p>
            <w:r>
              <w:t>0.516389</w:t>
            </w:r>
          </w:p>
        </w:tc>
      </w:tr>
    </w:tbl>
    <w:p/>
    <w:p>
      <w:r>
        <w:t>懲罰係數：驗證集選出之 lambda = 0.0009236708571873865（數值很小，正則化強度有限，Ridge 軌跡接近 OLS）。仍保留 Ridge 作為主規格，以利與文獻常見之 shrinkage 設定對照，並在共線性下提供數值較穩之係數。</w:t>
      </w:r>
    </w:p>
    <w:p>
      <w:r>
        <w:t>係數解讀：TSM 與 USD/TWD 為正，與「美國隔夜資訊偏多時台股跟涨／台幣方向」直覺一致。SOX 為負可能反映（一）TSM ADR 已吸收板塊 beta，SOX 在迴歸中扮演殘差／控制變數；（二）多重共線性下符號可為條件式解讀，不宜單獨當因果方向。Logistic 與僅 TSM 符號之基線在「實務口徑」下可能呈現較佳累積報酬，代表連續預測搭配 pred&gt;0 門檻未必最適；方向模型可作為建議實作版本之一。</w:t>
      </w:r>
    </w:p>
    <w:p>
      <w:r>
        <w:br w:type="page"/>
      </w:r>
    </w:p>
    <w:p>
      <w:pPr>
        <w:pStyle w:val="Heading2"/>
      </w:pPr>
      <w:r>
        <w:t>（一）基線模型實測比較（測試集）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28"/>
            <w:shd w:fill="1E3A5F" w:val="clear"/>
          </w:tcPr>
          <w:p>
            <w:r>
              <w:rPr>
                <w:b/>
                <w:color w:val="FFFFFF"/>
              </w:rPr>
              <w:t>模型</w:t>
            </w:r>
          </w:p>
        </w:tc>
        <w:tc>
          <w:tcPr>
            <w:tcW w:type="dxa" w:w="1247"/>
            <w:shd w:fill="1E3A5F" w:val="clear"/>
          </w:tcPr>
          <w:p>
            <w:r>
              <w:rPr>
                <w:b/>
                <w:color w:val="FFFFFF"/>
              </w:rPr>
              <w:t>測試集 IC</w:t>
            </w:r>
          </w:p>
        </w:tc>
        <w:tc>
          <w:tcPr>
            <w:tcW w:type="dxa" w:w="1474"/>
            <w:shd w:fill="1E3A5F" w:val="clear"/>
          </w:tcPr>
          <w:p>
            <w:r>
              <w:rPr>
                <w:b/>
                <w:color w:val="FFFFFF"/>
              </w:rPr>
              <w:t>向量化累積報酬</w:t>
            </w:r>
          </w:p>
        </w:tc>
        <w:tc>
          <w:tcPr>
            <w:tcW w:type="dxa" w:w="1474"/>
            <w:shd w:fill="1E3A5F" w:val="clear"/>
          </w:tcPr>
          <w:p>
            <w:r>
              <w:rPr>
                <w:b/>
                <w:color w:val="FFFFFF"/>
              </w:rPr>
              <w:t>實務累積報酬</w:t>
            </w:r>
          </w:p>
        </w:tc>
        <w:tc>
          <w:tcPr>
            <w:tcW w:type="dxa" w:w="1361"/>
            <w:shd w:fill="1E3A5F" w:val="clear"/>
          </w:tcPr>
          <w:p>
            <w:r>
              <w:rPr>
                <w:b/>
                <w:color w:val="FFFFFF"/>
              </w:rPr>
              <w:t>向量化 Sharpe</w:t>
            </w:r>
          </w:p>
        </w:tc>
        <w:tc>
          <w:tcPr>
            <w:tcW w:type="dxa" w:w="1361"/>
            <w:shd w:fill="1E3A5F" w:val="clear"/>
          </w:tcPr>
          <w:p>
            <w:r>
              <w:rPr>
                <w:b/>
                <w:color w:val="FFFFFF"/>
              </w:rPr>
              <w:t>實務 Sharpe</w:t>
            </w:r>
          </w:p>
        </w:tc>
      </w:tr>
      <w:tr>
        <w:tc>
          <w:tcPr>
            <w:tcW w:type="dxa" w:w="1928"/>
            <w:shd w:fill="F8FAFC" w:val="clear"/>
          </w:tcPr>
          <w:p>
            <w:r>
              <w:t>Ridge（線性基準）</w:t>
            </w:r>
          </w:p>
        </w:tc>
        <w:tc>
          <w:tcPr>
            <w:tcW w:type="dxa" w:w="1247"/>
            <w:shd w:fill="F8FAFC" w:val="clear"/>
          </w:tcPr>
          <w:p>
            <w:r>
              <w:t>0.4553</w:t>
            </w:r>
          </w:p>
        </w:tc>
        <w:tc>
          <w:tcPr>
            <w:tcW w:type="dxa" w:w="1474"/>
            <w:shd w:fill="F8FAFC" w:val="clear"/>
          </w:tcPr>
          <w:p>
            <w:r>
              <w:t>1162.99%</w:t>
            </w:r>
          </w:p>
        </w:tc>
        <w:tc>
          <w:tcPr>
            <w:tcW w:type="dxa" w:w="1474"/>
            <w:shd w:fill="F8FAFC" w:val="clear"/>
          </w:tcPr>
          <w:p>
            <w:r>
              <w:t>-14.96%</w:t>
            </w:r>
          </w:p>
        </w:tc>
        <w:tc>
          <w:tcPr>
            <w:tcW w:type="dxa" w:w="1361"/>
            <w:shd w:fill="F8FAFC" w:val="clear"/>
          </w:tcPr>
          <w:p>
            <w:r>
              <w:t>2.842</w:t>
            </w:r>
          </w:p>
        </w:tc>
        <w:tc>
          <w:tcPr>
            <w:tcW w:type="dxa" w:w="1361"/>
            <w:shd w:fill="F8FAFC" w:val="clear"/>
          </w:tcPr>
          <w:p>
            <w:r>
              <w:t>-0.347</w:t>
            </w:r>
          </w:p>
        </w:tc>
      </w:tr>
      <w:tr>
        <w:tc>
          <w:tcPr>
            <w:tcW w:type="dxa" w:w="1928"/>
          </w:tcPr>
          <w:p>
            <w:r>
              <w:t>OLS</w:t>
            </w:r>
          </w:p>
        </w:tc>
        <w:tc>
          <w:tcPr>
            <w:tcW w:type="dxa" w:w="1247"/>
          </w:tcPr>
          <w:p>
            <w:r>
              <w:t>0.4396</w:t>
            </w:r>
          </w:p>
        </w:tc>
        <w:tc>
          <w:tcPr>
            <w:tcW w:type="dxa" w:w="1474"/>
          </w:tcPr>
          <w:p>
            <w:r>
              <w:t>1015.47%</w:t>
            </w:r>
          </w:p>
        </w:tc>
        <w:tc>
          <w:tcPr>
            <w:tcW w:type="dxa" w:w="1474"/>
          </w:tcPr>
          <w:p>
            <w:r>
              <w:t>-14.66%</w:t>
            </w:r>
          </w:p>
        </w:tc>
        <w:tc>
          <w:tcPr>
            <w:tcW w:type="dxa" w:w="1361"/>
          </w:tcPr>
          <w:p>
            <w:r>
              <w:t>2.693</w:t>
            </w:r>
          </w:p>
        </w:tc>
        <w:tc>
          <w:tcPr>
            <w:tcW w:type="dxa" w:w="1361"/>
          </w:tcPr>
          <w:p>
            <w:r>
              <w:t>-0.381</w:t>
            </w:r>
          </w:p>
        </w:tc>
      </w:tr>
      <w:tr>
        <w:tc>
          <w:tcPr>
            <w:tcW w:type="dxa" w:w="1928"/>
            <w:shd w:fill="F8FAFC" w:val="clear"/>
          </w:tcPr>
          <w:p>
            <w:r>
              <w:t>Logistic（漲跌方向）</w:t>
            </w:r>
          </w:p>
        </w:tc>
        <w:tc>
          <w:tcPr>
            <w:tcW w:type="dxa" w:w="1247"/>
            <w:shd w:fill="F8FAFC" w:val="clear"/>
          </w:tcPr>
          <w:p>
            <w:r>
              <w:t>0.5281</w:t>
            </w:r>
          </w:p>
        </w:tc>
        <w:tc>
          <w:tcPr>
            <w:tcW w:type="dxa" w:w="1474"/>
            <w:shd w:fill="F8FAFC" w:val="clear"/>
          </w:tcPr>
          <w:p>
            <w:r>
              <w:t>1764.45%</w:t>
            </w:r>
          </w:p>
        </w:tc>
        <w:tc>
          <w:tcPr>
            <w:tcW w:type="dxa" w:w="1474"/>
            <w:shd w:fill="F8FAFC" w:val="clear"/>
          </w:tcPr>
          <w:p>
            <w:r>
              <w:t>9.74%</w:t>
            </w:r>
          </w:p>
        </w:tc>
        <w:tc>
          <w:tcPr>
            <w:tcW w:type="dxa" w:w="1361"/>
            <w:shd w:fill="F8FAFC" w:val="clear"/>
          </w:tcPr>
          <w:p>
            <w:r>
              <w:t>3.469</w:t>
            </w:r>
          </w:p>
        </w:tc>
        <w:tc>
          <w:tcPr>
            <w:tcW w:type="dxa" w:w="1361"/>
            <w:shd w:fill="F8FAFC" w:val="clear"/>
          </w:tcPr>
          <w:p>
            <w:r>
              <w:t>0.081</w:t>
            </w:r>
          </w:p>
        </w:tc>
      </w:tr>
      <w:tr>
        <w:tc>
          <w:tcPr>
            <w:tcW w:type="dxa" w:w="1928"/>
          </w:tcPr>
          <w:p>
            <w:r>
              <w:t>僅 TSM 報酬符號</w:t>
            </w:r>
          </w:p>
        </w:tc>
        <w:tc>
          <w:tcPr>
            <w:tcW w:type="dxa" w:w="1247"/>
          </w:tcPr>
          <w:p>
            <w:r>
              <w:t>0.5208</w:t>
            </w:r>
          </w:p>
        </w:tc>
        <w:tc>
          <w:tcPr>
            <w:tcW w:type="dxa" w:w="1474"/>
          </w:tcPr>
          <w:p>
            <w:r>
              <w:t>1729.31%</w:t>
            </w:r>
          </w:p>
        </w:tc>
        <w:tc>
          <w:tcPr>
            <w:tcW w:type="dxa" w:w="1474"/>
          </w:tcPr>
          <w:p>
            <w:r>
              <w:t>9.08%</w:t>
            </w:r>
          </w:p>
        </w:tc>
        <w:tc>
          <w:tcPr>
            <w:tcW w:type="dxa" w:w="1361"/>
          </w:tcPr>
          <w:p>
            <w:r>
              <w:t>3.335</w:t>
            </w:r>
          </w:p>
        </w:tc>
        <w:tc>
          <w:tcPr>
            <w:tcW w:type="dxa" w:w="1361"/>
          </w:tcPr>
          <w:p>
            <w:r>
              <w:t>0.073</w:t>
            </w:r>
          </w:p>
        </w:tc>
      </w:tr>
    </w:tbl>
    <w:p/>
    <w:p>
      <w:r>
        <w:t>說明：累積報酬為淨值倍數減一。最終可交易解讀以「實務」欄為主；向量化欄僅作對照。Ridge／OLS 之 IC 為連續預測與實現報酬之相關；Logistic 為 logit 分數；TSM 符號列以 TSM 報酬為分數。此對照顯示：訊號可能較適合用於方向分類（搭配簡單多／空規則），而不必然優於以連續報酬預測再 pred&gt;0 之映射。</w:t>
      </w:r>
    </w:p>
    <w:p>
      <w:pPr>
        <w:pStyle w:val="Heading2"/>
      </w:pPr>
      <w:r>
        <w:t>（二）被動基準（測試集）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E3A5F" w:val="clear"/>
          </w:tcPr>
          <w:p>
            <w:r>
              <w:rPr>
                <w:b/>
                <w:color w:val="FFFFFF"/>
              </w:rPr>
              <w:t>基準（測試集）</w:t>
            </w:r>
          </w:p>
        </w:tc>
        <w:tc>
          <w:tcPr>
            <w:tcW w:type="dxa" w:w="4535"/>
            <w:shd w:fill="1E3A5F" w:val="clear"/>
          </w:tcPr>
          <w:p>
            <w:r>
              <w:rPr>
                <w:b/>
                <w:color w:val="FFFFFF"/>
              </w:rPr>
              <w:t>累積報酬</w:t>
            </w:r>
          </w:p>
        </w:tc>
      </w:tr>
      <w:tr>
        <w:tc>
          <w:tcPr>
            <w:tcW w:type="dxa" w:w="4535"/>
            <w:shd w:fill="F8FAFC" w:val="clear"/>
          </w:tcPr>
          <w:p>
            <w:r>
              <w:t>2330.TW 買入持有（測試集）</w:t>
            </w:r>
          </w:p>
        </w:tc>
        <w:tc>
          <w:tcPr>
            <w:tcW w:type="dxa" w:w="4535"/>
            <w:shd w:fill="F8FAFC" w:val="clear"/>
          </w:tcPr>
          <w:p>
            <w:r>
              <w:t>255.28%</w:t>
            </w:r>
          </w:p>
        </w:tc>
      </w:tr>
      <w:tr>
        <w:tc>
          <w:tcPr>
            <w:tcW w:type="dxa" w:w="4535"/>
          </w:tcPr>
          <w:p>
            <w:r>
              <w:t>現金（空手，日報酬 0）</w:t>
            </w:r>
          </w:p>
        </w:tc>
        <w:tc>
          <w:tcPr>
            <w:tcW w:type="dxa" w:w="4535"/>
          </w:tcPr>
          <w:p>
            <w:r>
              <w:t>0.00%</w:t>
            </w:r>
          </w:p>
        </w:tc>
      </w:tr>
    </w:tbl>
    <w:p/>
    <w:p>
      <w:pPr>
        <w:pStyle w:val="Heading1"/>
      </w:pPr>
      <w:r>
        <w:t>五、回測實作與交易成本</w:t>
      </w:r>
    </w:p>
    <w:p>
      <w:r>
        <w:t>初始資金：1000000.0 TWD（見 run_meta）；台股現貨以整張（每張 1000.0 股）撮合，未模擬零股。若預測做多但現金不足以買進至少一張，則當日維持空手（訊號與成交不一致之來源）。此處初資設定刻意貼近小額帳戶之可執行性壓力測試；機構規模若放大資金或採零股／契約化工具，主要限制會改變。</w:t>
      </w:r>
    </w:p>
    <w:p>
      <w:r>
        <w:t>貼近實務（主結果）演算法（每日收盤撮合）：（1）依模型得 pred；預設門檻 pred&gt;0 則目標為做多，否則空手。（2）若目標做多且目前空手：以可用現金買進「最多整張數」，並扣買進手續費。（3）若目標空手且目前持有：以收盤價賣出全部持股，扣賣出手續費與證交稅。（4）若目標與昨日持倉相同：不換手、不另扣費。（5）評價：持股時市值含於淨值；空手時報酬為 0。收盤價記帳係為與本研究所採「收對收」報酬定義一致，並非主張開盤即可等同收盤成交；更貼近可執行之延伸為開盤成交或開收報酬之重估。</w:t>
      </w:r>
    </w:p>
    <w:p>
      <w:r>
        <w:t>說明：close-price booking 與 close-to-close 報酬 proxy 對齊，作為可比較之共同規格；並未將其等同為完全可執行之開盤撮合結果。未來工作應優先改為 open-to-close 回測或以開盤價填單之小型對照實驗。</w:t>
      </w:r>
    </w:p>
    <w:p>
      <w:r>
        <w:t>費率（與期末報告假設一致）：買進手續費率 0.001425（約 0.1425%）；賣方為手續費加證交稅合計 0.004425（約 0.4425%）。記帳概念：買進總成本 = 成交價 × 股數 × (1+買進費率)；賣出淨收入 = 成交價 × 股數 × (1-賣出費率)。</w:t>
      </w:r>
    </w:p>
    <w:p>
      <w:r>
        <w:t>向量化理想化（診斷）：連續資金、全額做多／空手，當日訊號 × 當日收對收報酬；僅於 0↔1 切換時扣費。與實務路徑對照可凸顯缺口來源。</w:t>
      </w:r>
    </w:p>
    <w:p>
      <w:pPr>
        <w:pStyle w:val="Heading1"/>
      </w:pPr>
      <w:r>
        <w:t>六、向量化理想化回測（診斷對照，非主結果）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fill="1E3A5F" w:val="clear"/>
          </w:tcPr>
          <w:p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6236"/>
            <w:shd w:fill="1E3A5F" w:val="clear"/>
          </w:tcPr>
          <w:p>
            <w:r>
              <w:rPr>
                <w:b/>
                <w:color w:val="FFFFFF"/>
              </w:rPr>
              <w:t>向量化（理想化）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樣本交易日數（測試集）</w:t>
            </w:r>
          </w:p>
        </w:tc>
        <w:tc>
          <w:tcPr>
            <w:tcW w:type="dxa" w:w="6236"/>
            <w:shd w:fill="F8FAFC" w:val="clear"/>
          </w:tcPr>
          <w:p>
            <w:r>
              <w:t>1041.0</w:t>
            </w:r>
          </w:p>
        </w:tc>
      </w:tr>
      <w:tr>
        <w:tc>
          <w:tcPr>
            <w:tcW w:type="dxa" w:w="3118"/>
          </w:tcPr>
          <w:p>
            <w:r>
              <w:t>策略累積報酬（淨值倍數 -1）</w:t>
            </w:r>
          </w:p>
        </w:tc>
        <w:tc>
          <w:tcPr>
            <w:tcW w:type="dxa" w:w="6236"/>
          </w:tcPr>
          <w:p>
            <w:r>
              <w:t>11.6299 (wealth approx 12.63x)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Buy and Hold 累積報酬</w:t>
            </w:r>
          </w:p>
        </w:tc>
        <w:tc>
          <w:tcPr>
            <w:tcW w:type="dxa" w:w="6236"/>
            <w:shd w:fill="F8FAFC" w:val="clear"/>
          </w:tcPr>
          <w:p>
            <w:r>
              <w:t>2.5528 (wealth approx 3.55x)</w:t>
            </w:r>
          </w:p>
        </w:tc>
      </w:tr>
      <w:tr>
        <w:tc>
          <w:tcPr>
            <w:tcW w:type="dxa" w:w="3118"/>
          </w:tcPr>
          <w:p>
            <w:r>
              <w:t>策略年化報酬（CAGR）</w:t>
            </w:r>
          </w:p>
        </w:tc>
        <w:tc>
          <w:tcPr>
            <w:tcW w:type="dxa" w:w="6236"/>
          </w:tcPr>
          <w:p>
            <w:r>
              <w:t>80.26%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B and H 年化報酬（CAGR）</w:t>
            </w:r>
          </w:p>
        </w:tc>
        <w:tc>
          <w:tcPr>
            <w:tcW w:type="dxa" w:w="6236"/>
            <w:shd w:fill="F8FAFC" w:val="clear"/>
          </w:tcPr>
          <w:p>
            <w:r>
              <w:t>34.25%</w:t>
            </w:r>
          </w:p>
        </w:tc>
      </w:tr>
      <w:tr>
        <w:tc>
          <w:tcPr>
            <w:tcW w:type="dxa" w:w="3118"/>
          </w:tcPr>
          <w:p>
            <w:r>
              <w:t>策略年化波動率</w:t>
            </w:r>
          </w:p>
        </w:tc>
        <w:tc>
          <w:tcPr>
            <w:tcW w:type="dxa" w:w="6236"/>
          </w:tcPr>
          <w:p>
            <w:r>
              <w:t>21.74%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策略 Sharpe（日頻、Rf 約 2% 年化）</w:t>
            </w:r>
          </w:p>
        </w:tc>
        <w:tc>
          <w:tcPr>
            <w:tcW w:type="dxa" w:w="6236"/>
            <w:shd w:fill="F8FAFC" w:val="clear"/>
          </w:tcPr>
          <w:p>
            <w:r>
              <w:t>2.842</w:t>
            </w:r>
          </w:p>
        </w:tc>
      </w:tr>
      <w:tr>
        <w:tc>
          <w:tcPr>
            <w:tcW w:type="dxa" w:w="3118"/>
          </w:tcPr>
          <w:p>
            <w:r>
              <w:t>B and H Sharpe</w:t>
            </w:r>
          </w:p>
        </w:tc>
        <w:tc>
          <w:tcPr>
            <w:tcW w:type="dxa" w:w="6236"/>
          </w:tcPr>
          <w:p>
            <w:r>
              <w:t>1.075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策略最大回撤（MDD）</w:t>
            </w:r>
          </w:p>
        </w:tc>
        <w:tc>
          <w:tcPr>
            <w:tcW w:type="dxa" w:w="6236"/>
            <w:shd w:fill="F8FAFC" w:val="clear"/>
          </w:tcPr>
          <w:p>
            <w:r>
              <w:t>-12.07%</w:t>
            </w:r>
          </w:p>
        </w:tc>
      </w:tr>
      <w:tr>
        <w:tc>
          <w:tcPr>
            <w:tcW w:type="dxa" w:w="3118"/>
          </w:tcPr>
          <w:p>
            <w:r>
              <w:t>B and H 最大回撤（MDD）</w:t>
            </w:r>
          </w:p>
        </w:tc>
        <w:tc>
          <w:tcPr>
            <w:tcW w:type="dxa" w:w="6236"/>
          </w:tcPr>
          <w:p>
            <w:r>
              <w:t>-45.68%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卡瑪比率（年化除以絕對 MDD）</w:t>
            </w:r>
          </w:p>
        </w:tc>
        <w:tc>
          <w:tcPr>
            <w:tcW w:type="dxa" w:w="6236"/>
            <w:shd w:fill="F8FAFC" w:val="clear"/>
          </w:tcPr>
          <w:p>
            <w:r>
              <w:t>6.65</w:t>
            </w:r>
          </w:p>
        </w:tc>
      </w:tr>
      <w:tr>
        <w:tc>
          <w:tcPr>
            <w:tcW w:type="dxa" w:w="3118"/>
          </w:tcPr>
          <w:p>
            <w:r>
              <w:t>做多日勝率</w:t>
            </w:r>
          </w:p>
        </w:tc>
        <w:tc>
          <w:tcPr>
            <w:tcW w:type="dxa" w:w="6236"/>
          </w:tcPr>
          <w:p>
            <w:r>
              <w:t>63.79%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Ridge 懲罰係數 lambda（驗證集選出）</w:t>
            </w:r>
          </w:p>
        </w:tc>
        <w:tc>
          <w:tcPr>
            <w:tcW w:type="dxa" w:w="6236"/>
            <w:shd w:fill="F8FAFC" w:val="clear"/>
          </w:tcPr>
          <w:p>
            <w:r>
              <w:t>0.000924</w:t>
            </w:r>
          </w:p>
        </w:tc>
      </w:tr>
      <w:tr>
        <w:tc>
          <w:tcPr>
            <w:tcW w:type="dxa" w:w="3118"/>
          </w:tcPr>
          <w:p>
            <w:r>
              <w:t>買進手續費率</w:t>
            </w:r>
          </w:p>
        </w:tc>
        <w:tc>
          <w:tcPr>
            <w:tcW w:type="dxa" w:w="6236"/>
          </w:tcPr>
          <w:p>
            <w:r>
              <w:t>0.14%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賣出手續費加證交稅</w:t>
            </w:r>
          </w:p>
        </w:tc>
        <w:tc>
          <w:tcPr>
            <w:tcW w:type="dxa" w:w="6236"/>
            <w:shd w:fill="F8FAFC" w:val="clear"/>
          </w:tcPr>
          <w:p>
            <w:r>
              <w:t>0.44%</w:t>
            </w:r>
          </w:p>
        </w:tc>
      </w:tr>
    </w:tbl>
    <w:p/>
    <w:p>
      <w:pPr>
        <w:pStyle w:val="Heading1"/>
      </w:pPr>
      <w:r>
        <w:t>七、貼近實務之回測（整數張數，主結果）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fill="1E3A5F" w:val="clear"/>
          </w:tcPr>
          <w:p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6236"/>
            <w:shd w:fill="1E3A5F" w:val="clear"/>
          </w:tcPr>
          <w:p>
            <w:r>
              <w:rPr>
                <w:b/>
                <w:color w:val="FFFFFF"/>
              </w:rPr>
              <w:t>貼近實務／整數張數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樣本交易日數（測試集）</w:t>
            </w:r>
          </w:p>
        </w:tc>
        <w:tc>
          <w:tcPr>
            <w:tcW w:type="dxa" w:w="6236"/>
            <w:shd w:fill="F8FAFC" w:val="clear"/>
          </w:tcPr>
          <w:p>
            <w:r>
              <w:t>1041.0</w:t>
            </w:r>
          </w:p>
        </w:tc>
      </w:tr>
      <w:tr>
        <w:tc>
          <w:tcPr>
            <w:tcW w:type="dxa" w:w="3118"/>
          </w:tcPr>
          <w:p>
            <w:r>
              <w:t>策略累積報酬（淨值倍數 -1）</w:t>
            </w:r>
          </w:p>
        </w:tc>
        <w:tc>
          <w:tcPr>
            <w:tcW w:type="dxa" w:w="6236"/>
          </w:tcPr>
          <w:p>
            <w:r>
              <w:t>-0.1496 (wealth approx 0.85x)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Buy and Hold 累積報酬</w:t>
            </w:r>
          </w:p>
        </w:tc>
        <w:tc>
          <w:tcPr>
            <w:tcW w:type="dxa" w:w="6236"/>
            <w:shd w:fill="F8FAFC" w:val="clear"/>
          </w:tcPr>
          <w:p>
            <w:r>
              <w:t>2.5528 (wealth approx 3.55x)</w:t>
            </w:r>
          </w:p>
        </w:tc>
      </w:tr>
      <w:tr>
        <w:tc>
          <w:tcPr>
            <w:tcW w:type="dxa" w:w="3118"/>
          </w:tcPr>
          <w:p>
            <w:r>
              <w:t>策略年化報酬（CAGR）</w:t>
            </w:r>
          </w:p>
        </w:tc>
        <w:tc>
          <w:tcPr>
            <w:tcW w:type="dxa" w:w="6236"/>
          </w:tcPr>
          <w:p>
            <w:r>
              <w:t>-3.69%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B and H 年化報酬（CAGR）</w:t>
            </w:r>
          </w:p>
        </w:tc>
        <w:tc>
          <w:tcPr>
            <w:tcW w:type="dxa" w:w="6236"/>
            <w:shd w:fill="F8FAFC" w:val="clear"/>
          </w:tcPr>
          <w:p>
            <w:r>
              <w:t>34.25%</w:t>
            </w:r>
          </w:p>
        </w:tc>
      </w:tr>
      <w:tr>
        <w:tc>
          <w:tcPr>
            <w:tcW w:type="dxa" w:w="3118"/>
          </w:tcPr>
          <w:p>
            <w:r>
              <w:t>策略年化波動率</w:t>
            </w:r>
          </w:p>
        </w:tc>
        <w:tc>
          <w:tcPr>
            <w:tcW w:type="dxa" w:w="6236"/>
          </w:tcPr>
          <w:p>
            <w:r>
              <w:t>14.16%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策略 Sharpe（日頻、Rf 約 2% 年化）</w:t>
            </w:r>
          </w:p>
        </w:tc>
        <w:tc>
          <w:tcPr>
            <w:tcW w:type="dxa" w:w="6236"/>
            <w:shd w:fill="F8FAFC" w:val="clear"/>
          </w:tcPr>
          <w:p>
            <w:r>
              <w:t>-0.347</w:t>
            </w:r>
          </w:p>
        </w:tc>
      </w:tr>
      <w:tr>
        <w:tc>
          <w:tcPr>
            <w:tcW w:type="dxa" w:w="3118"/>
          </w:tcPr>
          <w:p>
            <w:r>
              <w:t>B and H Sharpe</w:t>
            </w:r>
          </w:p>
        </w:tc>
        <w:tc>
          <w:tcPr>
            <w:tcW w:type="dxa" w:w="6236"/>
          </w:tcPr>
          <w:p>
            <w:r>
              <w:t>1.075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策略最大回撤（MDD）</w:t>
            </w:r>
          </w:p>
        </w:tc>
        <w:tc>
          <w:tcPr>
            <w:tcW w:type="dxa" w:w="6236"/>
            <w:shd w:fill="F8FAFC" w:val="clear"/>
          </w:tcPr>
          <w:p>
            <w:r>
              <w:t>-25.89%</w:t>
            </w:r>
          </w:p>
        </w:tc>
      </w:tr>
      <w:tr>
        <w:tc>
          <w:tcPr>
            <w:tcW w:type="dxa" w:w="3118"/>
          </w:tcPr>
          <w:p>
            <w:r>
              <w:t>B and H 最大回撤（MDD）</w:t>
            </w:r>
          </w:p>
        </w:tc>
        <w:tc>
          <w:tcPr>
            <w:tcW w:type="dxa" w:w="6236"/>
          </w:tcPr>
          <w:p>
            <w:r>
              <w:t>-45.68%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卡瑪比率（年化除以絕對 MDD）</w:t>
            </w:r>
          </w:p>
        </w:tc>
        <w:tc>
          <w:tcPr>
            <w:tcW w:type="dxa" w:w="6236"/>
            <w:shd w:fill="F8FAFC" w:val="clear"/>
          </w:tcPr>
          <w:p>
            <w:r>
              <w:t>-0.14</w:t>
            </w:r>
          </w:p>
        </w:tc>
      </w:tr>
      <w:tr>
        <w:tc>
          <w:tcPr>
            <w:tcW w:type="dxa" w:w="3118"/>
          </w:tcPr>
          <w:p>
            <w:r>
              <w:t>做多日勝率</w:t>
            </w:r>
          </w:p>
        </w:tc>
        <w:tc>
          <w:tcPr>
            <w:tcW w:type="dxa" w:w="6236"/>
          </w:tcPr>
          <w:p>
            <w:r>
              <w:t>33.13%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Ridge 懲罰係數 lambda（驗證集選出）</w:t>
            </w:r>
          </w:p>
        </w:tc>
        <w:tc>
          <w:tcPr>
            <w:tcW w:type="dxa" w:w="6236"/>
            <w:shd w:fill="F8FAFC" w:val="clear"/>
          </w:tcPr>
          <w:p>
            <w:r>
              <w:t>0.000924</w:t>
            </w:r>
          </w:p>
        </w:tc>
      </w:tr>
      <w:tr>
        <w:tc>
          <w:tcPr>
            <w:tcW w:type="dxa" w:w="3118"/>
          </w:tcPr>
          <w:p>
            <w:r>
              <w:t>買進手續費率</w:t>
            </w:r>
          </w:p>
        </w:tc>
        <w:tc>
          <w:tcPr>
            <w:tcW w:type="dxa" w:w="6236"/>
          </w:tcPr>
          <w:p>
            <w:r>
              <w:t>0.14%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賣出手續費加證交稅</w:t>
            </w:r>
          </w:p>
        </w:tc>
        <w:tc>
          <w:tcPr>
            <w:tcW w:type="dxa" w:w="6236"/>
            <w:shd w:fill="F8FAFC" w:val="clear"/>
          </w:tcPr>
          <w:p>
            <w:r>
              <w:t>0.44%</w:t>
            </w:r>
          </w:p>
        </w:tc>
      </w:tr>
    </w:tbl>
    <w:p/>
    <w:p>
      <w:pPr>
        <w:pStyle w:val="Heading1"/>
      </w:pPr>
      <w:r>
        <w:t>八、向量化與實務回測差異之對帳（核心）</w:t>
      </w:r>
    </w:p>
    <w:p>
      <w:r>
        <w:t>下列對帳表說明兩種引擎在成交口徑、成本、部位路徑與主要指標上的結構性差異。當結果方向相反時，不宜僅以「模型好壞」解釋，而應優先檢視實作假設是否與可交易定義一致。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fill="1E3A5F" w:val="clea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721"/>
            <w:shd w:fill="1E3A5F" w:val="clear"/>
          </w:tcPr>
          <w:p>
            <w:r>
              <w:rPr>
                <w:b/>
                <w:color w:val="FFFFFF"/>
              </w:rPr>
              <w:t>向量化理想化</w:t>
            </w:r>
          </w:p>
        </w:tc>
        <w:tc>
          <w:tcPr>
            <w:tcW w:type="dxa" w:w="2721"/>
            <w:shd w:fill="1E3A5F" w:val="clear"/>
          </w:tcPr>
          <w:p>
            <w:r>
              <w:rPr>
                <w:b/>
                <w:color w:val="FFFFFF"/>
              </w:rPr>
              <w:t>貼近實務／整數張數</w:t>
            </w:r>
          </w:p>
        </w:tc>
        <w:tc>
          <w:tcPr>
            <w:tcW w:type="dxa" w:w="2381"/>
            <w:shd w:fill="1E3A5F" w:val="clear"/>
          </w:tcPr>
          <w:p>
            <w:r>
              <w:rPr>
                <w:b/>
                <w:color w:val="FFFFFF"/>
              </w:rPr>
              <w:t>可能影響</w:t>
            </w:r>
          </w:p>
        </w:tc>
      </w:tr>
      <w:tr>
        <w:tc>
          <w:tcPr>
            <w:tcW w:type="dxa" w:w="1814"/>
            <w:shd w:fill="F8FAFC" w:val="clear"/>
          </w:tcPr>
          <w:p>
            <w:r>
              <w:t>成交／報酬口徑</w:t>
            </w:r>
          </w:p>
        </w:tc>
        <w:tc>
          <w:tcPr>
            <w:tcW w:type="dxa" w:w="2721"/>
            <w:shd w:fill="F8FAFC" w:val="clear"/>
          </w:tcPr>
          <w:p>
            <w:r>
              <w:t>連續複利、全額持有假設；當日訊號 × 當日收對收報酬</w:t>
            </w:r>
          </w:p>
        </w:tc>
        <w:tc>
          <w:tcPr>
            <w:tcW w:type="dxa" w:w="2721"/>
            <w:shd w:fill="F8FAFC" w:val="clear"/>
          </w:tcPr>
          <w:p>
            <w:r>
              <w:t>整數張數、收盤撮合、現金餘額與手續費／證交稅逐筆扣減</w:t>
            </w:r>
          </w:p>
        </w:tc>
        <w:tc>
          <w:tcPr>
            <w:tcW w:type="dxa" w:w="2381"/>
            <w:shd w:fill="F8FAFC" w:val="clear"/>
          </w:tcPr>
          <w:p>
            <w:r>
              <w:t>持有期與可投資餘額定義不同會大幅改變複利路徑</w:t>
            </w:r>
          </w:p>
        </w:tc>
      </w:tr>
      <w:tr>
        <w:tc>
          <w:tcPr>
            <w:tcW w:type="dxa" w:w="1814"/>
          </w:tcPr>
          <w:p>
            <w:r>
              <w:t>交易成本</w:t>
            </w:r>
          </w:p>
        </w:tc>
        <w:tc>
          <w:tcPr>
            <w:tcW w:type="dxa" w:w="2721"/>
          </w:tcPr>
          <w:p>
            <w:r>
              <w:t>僅在部位 0↔1 切換時扣買賣費率</w:t>
            </w:r>
          </w:p>
        </w:tc>
        <w:tc>
          <w:tcPr>
            <w:tcW w:type="dxa" w:w="2721"/>
          </w:tcPr>
          <w:p>
            <w:r>
              <w:t>同左，但現金不足以買滿一張時出現「訊號為多卻空手」之執行落差</w:t>
            </w:r>
          </w:p>
        </w:tc>
        <w:tc>
          <w:tcPr>
            <w:tcW w:type="dxa" w:w="2381"/>
          </w:tcPr>
          <w:p>
            <w:r>
              <w:t>高換手時摩擦與張數離散效果被放大</w:t>
            </w:r>
          </w:p>
        </w:tc>
      </w:tr>
      <w:tr>
        <w:tc>
          <w:tcPr>
            <w:tcW w:type="dxa" w:w="1814"/>
            <w:shd w:fill="F8FAFC" w:val="clear"/>
          </w:tcPr>
          <w:p>
            <w:r>
              <w:t>部位路徑</w:t>
            </w:r>
          </w:p>
        </w:tc>
        <w:tc>
          <w:tcPr>
            <w:tcW w:type="dxa" w:w="2721"/>
            <w:shd w:fill="F8FAFC" w:val="clear"/>
          </w:tcPr>
          <w:p>
            <w:r>
              <w:t>理論上每日二元曝險（向量化的連續資金）</w:t>
            </w:r>
          </w:p>
        </w:tc>
        <w:tc>
          <w:tcPr>
            <w:tcW w:type="dxa" w:w="2721"/>
            <w:shd w:fill="F8FAFC" w:val="clear"/>
          </w:tcPr>
          <w:p>
            <w:r>
              <w:t>實際持倉受張數、可買進張數限制</w:t>
            </w:r>
          </w:p>
        </w:tc>
        <w:tc>
          <w:tcPr>
            <w:tcW w:type="dxa" w:w="2381"/>
            <w:shd w:fill="F8FAFC" w:val="clear"/>
          </w:tcPr>
          <w:p>
            <w:r>
              <w:t>多頭報酬無法完全複製「全額貼現」假設</w:t>
            </w:r>
          </w:p>
        </w:tc>
      </w:tr>
      <w:tr>
        <w:tc>
          <w:tcPr>
            <w:tcW w:type="dxa" w:w="1814"/>
          </w:tcPr>
          <w:p>
            <w:r>
              <w:t>資本／整張約束</w:t>
            </w:r>
          </w:p>
        </w:tc>
        <w:tc>
          <w:tcPr>
            <w:tcW w:type="dxa" w:w="2721"/>
          </w:tcPr>
          <w:p>
            <w:r>
              <w:t>連續資金下名義曝險原則上可隨訊號調整；無「買不起一張」問題</w:t>
            </w:r>
          </w:p>
        </w:tc>
        <w:tc>
          <w:tcPr>
            <w:tcW w:type="dxa" w:w="2721"/>
          </w:tcPr>
          <w:p>
            <w:r>
              <w:t>現金不足以買進至少一張時，訊號為多仍可能全日空手</w:t>
            </w:r>
          </w:p>
        </w:tc>
        <w:tc>
          <w:tcPr>
            <w:tcW w:type="dxa" w:w="2381"/>
          </w:tcPr>
          <w:p>
            <w:r>
              <w:t>對應 IC-PnL 落差中「欲多未持有」比例，並與初資敏感度呼應</w:t>
            </w:r>
          </w:p>
        </w:tc>
      </w:tr>
      <w:tr>
        <w:tc>
          <w:tcPr>
            <w:tcW w:type="dxa" w:w="1814"/>
            <w:shd w:fill="F8FAFC" w:val="clear"/>
          </w:tcPr>
          <w:p>
            <w:r>
              <w:t>主要指標（累積／CAGR／Sharpe／MDD）</w:t>
            </w:r>
          </w:p>
        </w:tc>
        <w:tc>
          <w:tcPr>
            <w:tcW w:type="dxa" w:w="2721"/>
            <w:shd w:fill="F8FAFC" w:val="clear"/>
          </w:tcPr>
          <w:p>
            <w:r>
              <w:t>11.6299 (wealth ~12.63x) / 80.26% / 2.842 / -12.07%</w:t>
            </w:r>
          </w:p>
        </w:tc>
        <w:tc>
          <w:tcPr>
            <w:tcW w:type="dxa" w:w="2721"/>
            <w:shd w:fill="F8FAFC" w:val="clear"/>
          </w:tcPr>
          <w:p>
            <w:r>
              <w:t>-0.1496 (wealth ~0.85x) / -3.69% / -0.347 / -25.89%</w:t>
            </w:r>
          </w:p>
        </w:tc>
        <w:tc>
          <w:tcPr>
            <w:tcW w:type="dxa" w:w="2381"/>
            <w:shd w:fill="F8FAFC" w:val="clear"/>
          </w:tcPr>
          <w:p>
            <w:r>
              <w:t>兩者方向相反時，應優先採信貼近交易規則之版本並解釋差異來源</w:t>
            </w:r>
          </w:p>
        </w:tc>
      </w:tr>
    </w:tbl>
    <w:p/>
    <w:p>
      <w:pPr>
        <w:pStyle w:val="Heading1"/>
      </w:pPr>
      <w:r>
        <w:t>九、訊號診斷：IC、係數與年度穩定性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E3A5F" w:val="clear"/>
          </w:tcPr>
          <w:p>
            <w:r>
              <w:rPr>
                <w:b/>
                <w:color w:val="FFFFFF"/>
              </w:rPr>
              <w:t>診斷</w:t>
            </w:r>
          </w:p>
        </w:tc>
        <w:tc>
          <w:tcPr>
            <w:tcW w:type="dxa" w:w="5102"/>
            <w:shd w:fill="1E3A5F" w:val="clear"/>
          </w:tcPr>
          <w:p>
            <w:r>
              <w:rPr>
                <w:b/>
                <w:color w:val="FFFFFF"/>
              </w:rPr>
              <w:t>數值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測試集 IC（Pearson，pred vs 實現報酬）</w:t>
            </w:r>
          </w:p>
        </w:tc>
        <w:tc>
          <w:tcPr>
            <w:tcW w:type="dxa" w:w="5102"/>
            <w:shd w:fill="F8FAFC" w:val="clear"/>
          </w:tcPr>
          <w:p>
            <w:r>
              <w:t>0.4553</w:t>
            </w:r>
          </w:p>
        </w:tc>
      </w:tr>
      <w:tr>
        <w:tc>
          <w:tcPr>
            <w:tcW w:type="dxa" w:w="3402"/>
          </w:tcPr>
          <w:p>
            <w:r>
              <w:t>IC 近似 t 統計量（診斷用）</w:t>
            </w:r>
          </w:p>
        </w:tc>
        <w:tc>
          <w:tcPr>
            <w:tcW w:type="dxa" w:w="5102"/>
          </w:tcPr>
          <w:p>
            <w:r>
              <w:t>16.483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測試集交易日數 n</w:t>
            </w:r>
          </w:p>
        </w:tc>
        <w:tc>
          <w:tcPr>
            <w:tcW w:type="dxa" w:w="5102"/>
            <w:shd w:fill="F8FAFC" w:val="clear"/>
          </w:tcPr>
          <w:p>
            <w:r>
              <w:t>1041</w:t>
            </w:r>
          </w:p>
        </w:tc>
      </w:tr>
    </w:tbl>
    <w:p/>
    <w:p>
      <w:r>
        <w:t>註：上方測試集 IC（0.4553）來自 signal_ic_test.csv，係在測試視窗內**所有台股交易日**之執行合併表上計算 （與回測同日曆；若該日無特徵列合併則 pred 可能填 0）。第 9.1 節 placebo 表之 baseline IC（0.4676）則在嚴格合併特徵之 **panel_test** 上、以相同 Ridge 係數重算預測後計算。兩者**有效列與缺列處理不同**，故數值可略差，並非兩套公式或不同版本報告混用。白話總結：兩個 IC 對應的有效交易日集合不同，並非使用了不同預測模型。</w:t>
      </w:r>
    </w:p>
    <w:p>
      <w:r>
        <w:t>測試集日頻 IC 若顯著偏高，除解讀為「預測力強」外，亦應審慎檢查是否源於曆法對齊、假期或合併列之誤差；建議後續工作手動抽驗若干組美台對應交易日，並以下表 placebo 與一日平移對照作為快速篩檢。</w:t>
      </w:r>
    </w:p>
    <w:p>
      <w:pPr>
        <w:pStyle w:val="Heading2"/>
      </w:pPr>
      <w:r>
        <w:t>（一）對齊 placebo：特徵沿台股列錯位 ±1 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shd w:fill="1E3A5F" w:val="clear"/>
          </w:tcPr>
          <w:p>
            <w:r>
              <w:rPr>
                <w:b/>
                <w:color w:val="FFFFFF"/>
              </w:rPr>
              <w:t>對齊情境</w:t>
            </w:r>
          </w:p>
        </w:tc>
        <w:tc>
          <w:tcPr>
            <w:tcW w:type="dxa" w:w="1984"/>
            <w:shd w:fill="1E3A5F" w:val="clear"/>
          </w:tcPr>
          <w:p>
            <w:r>
              <w:rPr>
                <w:b/>
                <w:color w:val="FFFFFF"/>
              </w:rPr>
              <w:t>Pearson IC</w:t>
            </w:r>
          </w:p>
        </w:tc>
      </w:tr>
      <w:tr>
        <w:tc>
          <w:tcPr>
            <w:tcW w:type="dxa" w:w="4819"/>
            <w:shd w:fill="F8FAFC" w:val="clear"/>
          </w:tcPr>
          <w:p>
            <w:r>
              <w:t>基準（正確對齊）</w:t>
            </w:r>
          </w:p>
        </w:tc>
        <w:tc>
          <w:tcPr>
            <w:tcW w:type="dxa" w:w="1984"/>
            <w:shd w:fill="F8FAFC" w:val="clear"/>
          </w:tcPr>
          <w:p>
            <w:r>
              <w:t>0.4676</w:t>
            </w:r>
          </w:p>
        </w:tc>
      </w:tr>
      <w:tr>
        <w:tc>
          <w:tcPr>
            <w:tcW w:type="dxa" w:w="4819"/>
          </w:tcPr>
          <w:p>
            <w:r>
              <w:t>Placebo：美國特徵沿台股列落後 1 日</w:t>
            </w:r>
          </w:p>
        </w:tc>
        <w:tc>
          <w:tcPr>
            <w:tcW w:type="dxa" w:w="1984"/>
          </w:tcPr>
          <w:p>
            <w:r>
              <w:t>0.0360</w:t>
            </w:r>
          </w:p>
        </w:tc>
      </w:tr>
      <w:tr>
        <w:tc>
          <w:tcPr>
            <w:tcW w:type="dxa" w:w="4819"/>
            <w:shd w:fill="F8FAFC" w:val="clear"/>
          </w:tcPr>
          <w:p>
            <w:r>
              <w:t>Placebo：美國特徵沿台股列超前 1 日</w:t>
            </w:r>
          </w:p>
        </w:tc>
        <w:tc>
          <w:tcPr>
            <w:tcW w:type="dxa" w:w="1984"/>
            <w:shd w:fill="F8FAFC" w:val="clear"/>
          </w:tcPr>
          <w:p>
            <w:r>
              <w:t>0.2420</w:t>
            </w:r>
          </w:p>
        </w:tc>
      </w:tr>
    </w:tbl>
    <w:p/>
    <w:p>
      <w:r>
        <w:t>解讀：若 baseline IC 在錯位後大幅崩落，支撐「正確對齊下之排序力」敘事；若錯位後 IC 仍高，則應回頭檢查合併邏輯、假期與報酬定義。+1 列（特徵超前）placebo 之 IC 仍為正（見上表），可能反映報酬持續性，或美台曆法／列對齊之殘差仍未完全排除。故 placebo 可減輕對齊疑慮，但無法完全取代人工抽驗配對交易日之必要性。</w:t>
      </w:r>
    </w:p>
    <w:p>
      <w:pPr>
        <w:pStyle w:val="Heading2"/>
      </w:pPr>
      <w:r>
        <w:t>（二）IC 與實務損益落差（IC–PnL gap）</w:t>
      </w:r>
    </w:p>
    <w:p>
      <w:r>
        <w:t>IC 衡量預測與報酬之排序相關，並不保證門檻 pred&gt;0 後仍能覆蓋交易成本與整張約束。樣本中「訊號欲做多卻因空手而未持有」之日約占 18.3%（約 190 日）。當現金不足以買進一張時，大涨日可能缺席；頻繁換手亦會讓費用吞噬小幅正預測邊際。2026 年樣本內：約 71 個交易日，其中 pred&gt;0 約 39 日，但實際持倉日為 0。原因為資金不足以買進至少一張時無法建倉，故策略報酬為 0%，並非程式『停止交易』。</w:t>
      </w:r>
    </w:p>
    <w:p>
      <w:r>
        <w:t>初資敏感度（與 run_meta 同一費率與規則，僅調整起始現金）：用以檢驗 2026 年『訊號為多卻無法買進一張』是否為結果之主因。若累積報酬對初資高度敏感，代表解讀應回歸整張與資金規模假設，而非僅歸因於模型訊號本身。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E3A5F" w:val="clear"/>
          </w:tcPr>
          <w:p>
            <w:r>
              <w:rPr>
                <w:b/>
                <w:color w:val="FFFFFF"/>
              </w:rPr>
              <w:t>初始資金（敏感度）</w:t>
            </w:r>
          </w:p>
        </w:tc>
        <w:tc>
          <w:tcPr>
            <w:tcW w:type="dxa" w:w="1984"/>
            <w:shd w:fill="1E3A5F" w:val="clear"/>
          </w:tcPr>
          <w:p>
            <w:r>
              <w:rPr>
                <w:b/>
                <w:color w:val="FFFFFF"/>
              </w:rPr>
              <w:t>實務累積報酬</w:t>
            </w:r>
          </w:p>
        </w:tc>
        <w:tc>
          <w:tcPr>
            <w:tcW w:type="dxa" w:w="1701"/>
            <w:shd w:fill="1E3A5F" w:val="clear"/>
          </w:tcPr>
          <w:p>
            <w:r>
              <w:rPr>
                <w:b/>
                <w:color w:val="FFFFFF"/>
              </w:rPr>
              <w:t>實務 Sharpe</w:t>
            </w:r>
          </w:p>
        </w:tc>
        <w:tc>
          <w:tcPr>
            <w:tcW w:type="dxa" w:w="1984"/>
            <w:shd w:fill="1E3A5F" w:val="clear"/>
          </w:tcPr>
          <w:p>
            <w:r>
              <w:rPr>
                <w:b/>
                <w:color w:val="FFFFFF"/>
              </w:rPr>
              <w:t>實務 MDD（%）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1M 新台幣（初資）</w:t>
            </w:r>
          </w:p>
        </w:tc>
        <w:tc>
          <w:tcPr>
            <w:tcW w:type="dxa" w:w="1984"/>
            <w:shd w:fill="F8FAFC" w:val="clear"/>
          </w:tcPr>
          <w:p>
            <w:r>
              <w:t>-14.96%</w:t>
            </w:r>
          </w:p>
        </w:tc>
        <w:tc>
          <w:tcPr>
            <w:tcW w:type="dxa" w:w="1701"/>
            <w:shd w:fill="F8FAFC" w:val="clear"/>
          </w:tcPr>
          <w:p>
            <w:r>
              <w:t>-0.347</w:t>
            </w:r>
          </w:p>
        </w:tc>
        <w:tc>
          <w:tcPr>
            <w:tcW w:type="dxa" w:w="1984"/>
            <w:shd w:fill="F8FAFC" w:val="clear"/>
          </w:tcPr>
          <w:p>
            <w:r>
              <w:t>-25.89%</w:t>
            </w:r>
          </w:p>
        </w:tc>
      </w:tr>
      <w:tr>
        <w:tc>
          <w:tcPr>
            <w:tcW w:type="dxa" w:w="2551"/>
          </w:tcPr>
          <w:p>
            <w:r>
              <w:t>3M 新台幣（初資）</w:t>
            </w:r>
          </w:p>
        </w:tc>
        <w:tc>
          <w:tcPr>
            <w:tcW w:type="dxa" w:w="1984"/>
          </w:tcPr>
          <w:p>
            <w:r>
              <w:t>-12.26%</w:t>
            </w:r>
          </w:p>
        </w:tc>
        <w:tc>
          <w:tcPr>
            <w:tcW w:type="dxa" w:w="1701"/>
          </w:tcPr>
          <w:p>
            <w:r>
              <w:t>-0.162</w:t>
            </w:r>
          </w:p>
        </w:tc>
        <w:tc>
          <w:tcPr>
            <w:tcW w:type="dxa" w:w="1984"/>
          </w:tcPr>
          <w:p>
            <w:r>
              <w:t>-41.98%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5M 新台幣（初資）</w:t>
            </w:r>
          </w:p>
        </w:tc>
        <w:tc>
          <w:tcPr>
            <w:tcW w:type="dxa" w:w="1984"/>
            <w:shd w:fill="F8FAFC" w:val="clear"/>
          </w:tcPr>
          <w:p>
            <w:r>
              <w:t>-7.41%</w:t>
            </w:r>
          </w:p>
        </w:tc>
        <w:tc>
          <w:tcPr>
            <w:tcW w:type="dxa" w:w="1701"/>
            <w:shd w:fill="F8FAFC" w:val="clear"/>
          </w:tcPr>
          <w:p>
            <w:r>
              <w:t>-0.083</w:t>
            </w:r>
          </w:p>
        </w:tc>
        <w:tc>
          <w:tcPr>
            <w:tcW w:type="dxa" w:w="1984"/>
            <w:shd w:fill="F8FAFC" w:val="clear"/>
          </w:tcPr>
          <w:p>
            <w:r>
              <w:t>-39.43%</w:t>
            </w:r>
          </w:p>
        </w:tc>
      </w:tr>
      <w:tr>
        <w:tc>
          <w:tcPr>
            <w:tcW w:type="dxa" w:w="2551"/>
          </w:tcPr>
          <w:p>
            <w:r>
              <w:t>10M 新台幣（初資）</w:t>
            </w:r>
          </w:p>
        </w:tc>
        <w:tc>
          <w:tcPr>
            <w:tcW w:type="dxa" w:w="1984"/>
          </w:tcPr>
          <w:p>
            <w:r>
              <w:t>-15.35%</w:t>
            </w:r>
          </w:p>
        </w:tc>
        <w:tc>
          <w:tcPr>
            <w:tcW w:type="dxa" w:w="1701"/>
          </w:tcPr>
          <w:p>
            <w:r>
              <w:t>-0.166</w:t>
            </w:r>
          </w:p>
        </w:tc>
        <w:tc>
          <w:tcPr>
            <w:tcW w:type="dxa" w:w="1984"/>
          </w:tcPr>
          <w:p>
            <w:r>
              <w:t>-44.42%</w:t>
            </w:r>
          </w:p>
        </w:tc>
      </w:tr>
    </w:tbl>
    <w:p/>
    <w:p>
      <w:r>
        <w:t>初資敏感度並未隨起始資金單調改善，顯示「買得起整張」僅解釋 IC-PnL 落差之一部分；更核心的仍是實現時序路徑，以及收對收統計預測與可執行持股報酬之不一致。資金提高會放大可買張數與曝險，不利時點之損失亦可能隨資金規模放大；故較多資金並不保證風險調整後績效機械式改善。</w:t>
      </w:r>
    </w:p>
    <w:p>
      <w:pPr>
        <w:pStyle w:val="Heading2"/>
      </w:pPr>
      <w:r>
        <w:t>（三）門檻敏感度（Ridge 預測值）</w:t>
      </w:r>
    </w:p>
    <w:p>
      <w:r>
        <w:t>τ 為預測報酬須超過之最小值才做多（bps 為每日報酬之萬分之一分位，5 bp = 0.05% = 0.0005）。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E3A5F" w:val="clear"/>
          </w:tcPr>
          <w:p>
            <w:r>
              <w:rPr>
                <w:b/>
                <w:color w:val="FFFFFF"/>
              </w:rPr>
              <w:t>門檻 τ（預測報酬須超過 τ 才做多）</w:t>
            </w:r>
          </w:p>
        </w:tc>
        <w:tc>
          <w:tcPr>
            <w:tcW w:type="dxa" w:w="1984"/>
            <w:shd w:fill="1E3A5F" w:val="clear"/>
          </w:tcPr>
          <w:p>
            <w:r>
              <w:rPr>
                <w:b/>
                <w:color w:val="FFFFFF"/>
              </w:rPr>
              <w:t>實務累積報酬</w:t>
            </w:r>
          </w:p>
        </w:tc>
        <w:tc>
          <w:tcPr>
            <w:tcW w:type="dxa" w:w="1701"/>
            <w:shd w:fill="1E3A5F" w:val="clear"/>
          </w:tcPr>
          <w:p>
            <w:r>
              <w:rPr>
                <w:b/>
                <w:color w:val="FFFFFF"/>
              </w:rPr>
              <w:t>實務 Sharpe</w:t>
            </w:r>
          </w:p>
        </w:tc>
        <w:tc>
          <w:tcPr>
            <w:tcW w:type="dxa" w:w="1984"/>
            <w:shd w:fill="1E3A5F" w:val="clear"/>
          </w:tcPr>
          <w:p>
            <w:r>
              <w:rPr>
                <w:b/>
                <w:color w:val="FFFFFF"/>
              </w:rPr>
              <w:t>實務 MDD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0（基線）</w:t>
            </w:r>
          </w:p>
        </w:tc>
        <w:tc>
          <w:tcPr>
            <w:tcW w:type="dxa" w:w="1984"/>
            <w:shd w:fill="F8FAFC" w:val="clear"/>
          </w:tcPr>
          <w:p>
            <w:r>
              <w:t>-14.96%</w:t>
            </w:r>
          </w:p>
        </w:tc>
        <w:tc>
          <w:tcPr>
            <w:tcW w:type="dxa" w:w="1701"/>
            <w:shd w:fill="F8FAFC" w:val="clear"/>
          </w:tcPr>
          <w:p>
            <w:r>
              <w:t>-0.347</w:t>
            </w:r>
          </w:p>
        </w:tc>
        <w:tc>
          <w:tcPr>
            <w:tcW w:type="dxa" w:w="1984"/>
            <w:shd w:fill="F8FAFC" w:val="clear"/>
          </w:tcPr>
          <w:p>
            <w:r>
              <w:t>-25.89%</w:t>
            </w:r>
          </w:p>
        </w:tc>
      </w:tr>
      <w:tr>
        <w:tc>
          <w:tcPr>
            <w:tcW w:type="dxa" w:w="3118"/>
          </w:tcPr>
          <w:p>
            <w:r>
              <w:t>5 bp</w:t>
            </w:r>
          </w:p>
        </w:tc>
        <w:tc>
          <w:tcPr>
            <w:tcW w:type="dxa" w:w="1984"/>
          </w:tcPr>
          <w:p>
            <w:r>
              <w:t>-19.86%</w:t>
            </w:r>
          </w:p>
        </w:tc>
        <w:tc>
          <w:tcPr>
            <w:tcW w:type="dxa" w:w="1701"/>
          </w:tcPr>
          <w:p>
            <w:r>
              <w:t>-0.595</w:t>
            </w:r>
          </w:p>
        </w:tc>
        <w:tc>
          <w:tcPr>
            <w:tcW w:type="dxa" w:w="1984"/>
          </w:tcPr>
          <w:p>
            <w:r>
              <w:t>-31.95%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10 bp</w:t>
            </w:r>
          </w:p>
        </w:tc>
        <w:tc>
          <w:tcPr>
            <w:tcW w:type="dxa" w:w="1984"/>
            <w:shd w:fill="F8FAFC" w:val="clear"/>
          </w:tcPr>
          <w:p>
            <w:r>
              <w:t>-24.67%</w:t>
            </w:r>
          </w:p>
        </w:tc>
        <w:tc>
          <w:tcPr>
            <w:tcW w:type="dxa" w:w="1701"/>
            <w:shd w:fill="F8FAFC" w:val="clear"/>
          </w:tcPr>
          <w:p>
            <w:r>
              <w:t>-0.780</w:t>
            </w:r>
          </w:p>
        </w:tc>
        <w:tc>
          <w:tcPr>
            <w:tcW w:type="dxa" w:w="1984"/>
            <w:shd w:fill="F8FAFC" w:val="clear"/>
          </w:tcPr>
          <w:p>
            <w:r>
              <w:t>-34.01%</w:t>
            </w:r>
          </w:p>
        </w:tc>
      </w:tr>
      <w:tr>
        <w:tc>
          <w:tcPr>
            <w:tcW w:type="dxa" w:w="3118"/>
          </w:tcPr>
          <w:p>
            <w:r>
              <w:t>20 bp</w:t>
            </w:r>
          </w:p>
        </w:tc>
        <w:tc>
          <w:tcPr>
            <w:tcW w:type="dxa" w:w="1984"/>
          </w:tcPr>
          <w:p>
            <w:r>
              <w:t>-3.54%</w:t>
            </w:r>
          </w:p>
        </w:tc>
        <w:tc>
          <w:tcPr>
            <w:tcW w:type="dxa" w:w="1701"/>
          </w:tcPr>
          <w:p>
            <w:r>
              <w:t>-0.229</w:t>
            </w:r>
          </w:p>
        </w:tc>
        <w:tc>
          <w:tcPr>
            <w:tcW w:type="dxa" w:w="1984"/>
          </w:tcPr>
          <w:p>
            <w:r>
              <w:t>-28.01%</w:t>
            </w:r>
          </w:p>
        </w:tc>
      </w:tr>
    </w:tbl>
    <w:p/>
    <w:p>
      <w:r>
        <w:t>解讀：提高門檻可降低換手與摩擦，使虧損幅度收斂，惟本表中 Ridge 在測試視窗下仍未全面轉正；顯示問題不僅來自過度交易，亦包含訊號與執行口徑（含收對收 proxy）之落差。</w:t>
      </w:r>
    </w:p>
    <w:p>
      <w:pPr>
        <w:pStyle w:val="Heading2"/>
      </w:pPr>
      <w:r>
        <w:t>（四）年度拆解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247"/>
            <w:shd w:fill="1E3A5F" w:val="clear"/>
          </w:tcPr>
          <w:p>
            <w:r>
              <w:rPr>
                <w:b/>
                <w:color w:val="FFFFFF"/>
              </w:rPr>
              <w:t>年度</w:t>
            </w:r>
          </w:p>
        </w:tc>
        <w:tc>
          <w:tcPr>
            <w:tcW w:type="dxa" w:w="1247"/>
            <w:shd w:fill="1E3A5F" w:val="clear"/>
          </w:tcPr>
          <w:p>
            <w:r>
              <w:rPr>
                <w:b/>
                <w:color w:val="FFFFFF"/>
              </w:rPr>
              <w:t>IC</w:t>
            </w:r>
          </w:p>
        </w:tc>
        <w:tc>
          <w:tcPr>
            <w:tcW w:type="dxa" w:w="1587"/>
            <w:shd w:fill="1E3A5F" w:val="clear"/>
          </w:tcPr>
          <w:p>
            <w:r>
              <w:rPr>
                <w:b/>
                <w:color w:val="FFFFFF"/>
              </w:rPr>
              <w:t>策略累積報酬</w:t>
            </w:r>
          </w:p>
        </w:tc>
        <w:tc>
          <w:tcPr>
            <w:tcW w:type="dxa" w:w="1587"/>
            <w:shd w:fill="1E3A5F" w:val="clear"/>
          </w:tcPr>
          <w:p>
            <w:r>
              <w:rPr>
                <w:b/>
                <w:color w:val="FFFFFF"/>
              </w:rPr>
              <w:t>2330 B&amp;H 累積報酬</w:t>
            </w:r>
          </w:p>
        </w:tc>
        <w:tc>
          <w:tcPr>
            <w:tcW w:type="dxa" w:w="1247"/>
            <w:shd w:fill="1E3A5F" w:val="clear"/>
          </w:tcPr>
          <w:p>
            <w:r>
              <w:rPr>
                <w:b/>
                <w:color w:val="FFFFFF"/>
              </w:rPr>
              <w:t>約略往返次數</w:t>
            </w:r>
          </w:p>
        </w:tc>
        <w:tc>
          <w:tcPr>
            <w:tcW w:type="dxa" w:w="1247"/>
            <w:shd w:fill="1E3A5F" w:val="clear"/>
          </w:tcPr>
          <w:p>
            <w:r>
              <w:rPr>
                <w:b/>
                <w:color w:val="FFFFFF"/>
              </w:rPr>
              <w:t>策略 MDD（%）</w:t>
            </w:r>
          </w:p>
        </w:tc>
      </w:tr>
      <w:tr>
        <w:tc>
          <w:tcPr>
            <w:tcW w:type="dxa" w:w="1247"/>
            <w:shd w:fill="F8FAFC" w:val="clear"/>
          </w:tcPr>
          <w:p>
            <w:r>
              <w:t>2022</w:t>
            </w:r>
          </w:p>
        </w:tc>
        <w:tc>
          <w:tcPr>
            <w:tcW w:type="dxa" w:w="1247"/>
            <w:shd w:fill="F8FAFC" w:val="clear"/>
          </w:tcPr>
          <w:p>
            <w:r>
              <w:t>0.4767</w:t>
            </w:r>
          </w:p>
        </w:tc>
        <w:tc>
          <w:tcPr>
            <w:tcW w:type="dxa" w:w="1587"/>
            <w:shd w:fill="F8FAFC" w:val="clear"/>
          </w:tcPr>
          <w:p>
            <w:r>
              <w:t>-14.24%</w:t>
            </w:r>
          </w:p>
        </w:tc>
        <w:tc>
          <w:tcPr>
            <w:tcW w:type="dxa" w:w="1587"/>
            <w:shd w:fill="F8FAFC" w:val="clear"/>
          </w:tcPr>
          <w:p>
            <w:r>
              <w:t>-27.07%</w:t>
            </w:r>
          </w:p>
        </w:tc>
        <w:tc>
          <w:tcPr>
            <w:tcW w:type="dxa" w:w="1247"/>
            <w:shd w:fill="F8FAFC" w:val="clear"/>
          </w:tcPr>
          <w:p>
            <w:r>
              <w:t>62.5</w:t>
            </w:r>
          </w:p>
        </w:tc>
        <w:tc>
          <w:tcPr>
            <w:tcW w:type="dxa" w:w="1247"/>
            <w:shd w:fill="F8FAFC" w:val="clear"/>
          </w:tcPr>
          <w:p>
            <w:r>
              <w:t>-25.89%</w:t>
            </w:r>
          </w:p>
        </w:tc>
      </w:tr>
      <w:tr>
        <w:tc>
          <w:tcPr>
            <w:tcW w:type="dxa" w:w="1247"/>
          </w:tcPr>
          <w:p>
            <w:r>
              <w:t>2023</w:t>
            </w:r>
          </w:p>
        </w:tc>
        <w:tc>
          <w:tcPr>
            <w:tcW w:type="dxa" w:w="1247"/>
          </w:tcPr>
          <w:p>
            <w:r>
              <w:t>0.4643</w:t>
            </w:r>
          </w:p>
        </w:tc>
        <w:tc>
          <w:tcPr>
            <w:tcW w:type="dxa" w:w="1587"/>
          </w:tcPr>
          <w:p>
            <w:r>
              <w:t>-5.25%</w:t>
            </w:r>
          </w:p>
        </w:tc>
        <w:tc>
          <w:tcPr>
            <w:tcW w:type="dxa" w:w="1587"/>
          </w:tcPr>
          <w:p>
            <w:r>
              <w:t>32.22%</w:t>
            </w:r>
          </w:p>
        </w:tc>
        <w:tc>
          <w:tcPr>
            <w:tcW w:type="dxa" w:w="1247"/>
          </w:tcPr>
          <w:p>
            <w:r>
              <w:t>58.5</w:t>
            </w:r>
          </w:p>
        </w:tc>
        <w:tc>
          <w:tcPr>
            <w:tcW w:type="dxa" w:w="1247"/>
          </w:tcPr>
          <w:p>
            <w:r>
              <w:t>-23.05%</w:t>
            </w:r>
          </w:p>
        </w:tc>
      </w:tr>
      <w:tr>
        <w:tc>
          <w:tcPr>
            <w:tcW w:type="dxa" w:w="1247"/>
            <w:shd w:fill="F8FAFC" w:val="clear"/>
          </w:tcPr>
          <w:p>
            <w:r>
              <w:t>2024</w:t>
            </w:r>
          </w:p>
        </w:tc>
        <w:tc>
          <w:tcPr>
            <w:tcW w:type="dxa" w:w="1247"/>
            <w:shd w:fill="F8FAFC" w:val="clear"/>
          </w:tcPr>
          <w:p>
            <w:r>
              <w:t>0.5404</w:t>
            </w:r>
          </w:p>
        </w:tc>
        <w:tc>
          <w:tcPr>
            <w:tcW w:type="dxa" w:w="1587"/>
            <w:shd w:fill="F8FAFC" w:val="clear"/>
          </w:tcPr>
          <w:p>
            <w:r>
              <w:t>26.19%</w:t>
            </w:r>
          </w:p>
        </w:tc>
        <w:tc>
          <w:tcPr>
            <w:tcW w:type="dxa" w:w="1587"/>
            <w:shd w:fill="F8FAFC" w:val="clear"/>
          </w:tcPr>
          <w:p>
            <w:r>
              <w:t>81.28%</w:t>
            </w:r>
          </w:p>
        </w:tc>
        <w:tc>
          <w:tcPr>
            <w:tcW w:type="dxa" w:w="1247"/>
            <w:shd w:fill="F8FAFC" w:val="clear"/>
          </w:tcPr>
          <w:p>
            <w:r>
              <w:t>41.0</w:t>
            </w:r>
          </w:p>
        </w:tc>
        <w:tc>
          <w:tcPr>
            <w:tcW w:type="dxa" w:w="1247"/>
            <w:shd w:fill="F8FAFC" w:val="clear"/>
          </w:tcPr>
          <w:p>
            <w:r>
              <w:t>-22.93%</w:t>
            </w:r>
          </w:p>
        </w:tc>
      </w:tr>
      <w:tr>
        <w:tc>
          <w:tcPr>
            <w:tcW w:type="dxa" w:w="1247"/>
          </w:tcPr>
          <w:p>
            <w:r>
              <w:t>2025</w:t>
            </w:r>
          </w:p>
        </w:tc>
        <w:tc>
          <w:tcPr>
            <w:tcW w:type="dxa" w:w="1247"/>
          </w:tcPr>
          <w:p>
            <w:r>
              <w:t>0.3489</w:t>
            </w:r>
          </w:p>
        </w:tc>
        <w:tc>
          <w:tcPr>
            <w:tcW w:type="dxa" w:w="1587"/>
          </w:tcPr>
          <w:p>
            <w:r>
              <w:t>-17.06%</w:t>
            </w:r>
          </w:p>
        </w:tc>
        <w:tc>
          <w:tcPr>
            <w:tcW w:type="dxa" w:w="1587"/>
          </w:tcPr>
          <w:p>
            <w:r>
              <w:t>44.19%</w:t>
            </w:r>
          </w:p>
        </w:tc>
        <w:tc>
          <w:tcPr>
            <w:tcW w:type="dxa" w:w="1247"/>
          </w:tcPr>
          <w:p>
            <w:r>
              <w:t>5.0</w:t>
            </w:r>
          </w:p>
        </w:tc>
        <w:tc>
          <w:tcPr>
            <w:tcW w:type="dxa" w:w="1247"/>
          </w:tcPr>
          <w:p>
            <w:r>
              <w:t>-20.10%</w:t>
            </w:r>
          </w:p>
        </w:tc>
      </w:tr>
      <w:tr>
        <w:tc>
          <w:tcPr>
            <w:tcW w:type="dxa" w:w="1247"/>
            <w:shd w:fill="F8FAFC" w:val="clear"/>
          </w:tcPr>
          <w:p>
            <w:r>
              <w:t>2026 YTD（部分年度）</w:t>
            </w:r>
          </w:p>
        </w:tc>
        <w:tc>
          <w:tcPr>
            <w:tcW w:type="dxa" w:w="1247"/>
            <w:shd w:fill="F8FAFC" w:val="clear"/>
          </w:tcPr>
          <w:p>
            <w:r>
              <w:t>0.4269</w:t>
            </w:r>
          </w:p>
        </w:tc>
        <w:tc>
          <w:tcPr>
            <w:tcW w:type="dxa" w:w="1587"/>
            <w:shd w:fill="F8FAFC" w:val="clear"/>
          </w:tcPr>
          <w:p>
            <w:r>
              <w:t>0.00%</w:t>
            </w:r>
          </w:p>
        </w:tc>
        <w:tc>
          <w:tcPr>
            <w:tcW w:type="dxa" w:w="1587"/>
            <w:shd w:fill="F8FAFC" w:val="clear"/>
          </w:tcPr>
          <w:p>
            <w:r>
              <w:t>40.97%</w:t>
            </w:r>
          </w:p>
        </w:tc>
        <w:tc>
          <w:tcPr>
            <w:tcW w:type="dxa" w:w="1247"/>
            <w:shd w:fill="F8FAFC" w:val="clear"/>
          </w:tcPr>
          <w:p>
            <w:r>
              <w:t>0.0</w:t>
            </w:r>
          </w:p>
        </w:tc>
        <w:tc>
          <w:tcPr>
            <w:tcW w:type="dxa" w:w="1247"/>
            <w:shd w:fill="F8FAFC" w:val="clear"/>
          </w:tcPr>
          <w:p>
            <w:r>
              <w:t>-20.10%</w:t>
            </w:r>
          </w:p>
        </w:tc>
      </w:tr>
    </w:tbl>
    <w:p/>
    <w:p>
      <w:r>
        <w:t>「約略往返次數」定義：隔日持倉由 0→1 或 1→0 各計 0.5；全日連續持有或全日空手則為 0。年度加總為近似之開平倉往返趟數（round-trip proxy），非委託張數或成交量。</w:t>
      </w:r>
    </w:p>
    <w:p>
      <w:r>
        <w:t>解讀：係數顯示在正則化後，TSM 與 TWD 方向為正、SOX 為負（樣本內線性投影）；年度 IC 在測試期多為正，與「貼近實務」淨報酬疲弱並存，代表「排序能力」未必轉成「可交易超額」，尤其在張數離散、現金約束與高換手摩擦下。</w:t>
      </w:r>
    </w:p>
    <w:p>
      <w:pPr>
        <w:pStyle w:val="Heading1"/>
      </w:pPr>
      <w:r>
        <w:t>十、穩健性與合理性檢查</w:t>
      </w:r>
    </w:p>
    <w:p>
      <w:pPr>
        <w:pStyle w:val="Heading2"/>
      </w:pPr>
      <w:r>
        <w:t>（一）穩健性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E3A5F" w:val="clear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5953"/>
            <w:shd w:fill="1E3A5F" w:val="clear"/>
          </w:tcPr>
          <w:p>
            <w:r>
              <w:rPr>
                <w:b/>
                <w:color w:val="FFFFFF"/>
              </w:rPr>
              <w:t>用途說明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Ridge 迴歸（L2 正則化）</w:t>
            </w:r>
          </w:p>
        </w:tc>
        <w:tc>
          <w:tcPr>
            <w:tcW w:type="dxa" w:w="5953"/>
            <w:shd w:fill="F8FAFC" w:val="clear"/>
          </w:tcPr>
          <w:p>
            <w:r>
              <w:t>降低過擬合與共線性風險，讓係數更穩定，提升樣本外泛化能力。</w:t>
            </w:r>
          </w:p>
        </w:tc>
      </w:tr>
      <w:tr>
        <w:tc>
          <w:tcPr>
            <w:tcW w:type="dxa" w:w="3402"/>
          </w:tcPr>
          <w:p>
            <w:r>
              <w:t>訓練／驗證／測試切分</w:t>
            </w:r>
          </w:p>
        </w:tc>
        <w:tc>
          <w:tcPr>
            <w:tcW w:type="dxa" w:w="5953"/>
          </w:tcPr>
          <w:p>
            <w:r>
              <w:t>隔離調參與最終評估，避免資料洩漏與過度樂觀績效。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對數網格搜尋 lambda</w:t>
            </w:r>
          </w:p>
        </w:tc>
        <w:tc>
          <w:tcPr>
            <w:tcW w:type="dxa" w:w="5953"/>
            <w:shd w:fill="F8FAFC" w:val="clear"/>
          </w:tcPr>
          <w:p>
            <w:r>
              <w:t>系統化尋找正則化強度，在偏差與變異之間取得平衡。</w:t>
            </w:r>
          </w:p>
        </w:tc>
      </w:tr>
      <w:tr>
        <w:tc>
          <w:tcPr>
            <w:tcW w:type="dxa" w:w="3402"/>
          </w:tcPr>
          <w:p>
            <w:r>
              <w:t>做多或空手規則（long or flat）</w:t>
            </w:r>
          </w:p>
        </w:tc>
        <w:tc>
          <w:tcPr>
            <w:tcW w:type="dxa" w:w="5953"/>
          </w:tcPr>
          <w:p>
            <w:r>
              <w:t>將連續預測轉為可執行訊號，降低雙邊摩擦與放空限制影響。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交易成本建模（手續費、證交稅）</w:t>
            </w:r>
          </w:p>
        </w:tc>
        <w:tc>
          <w:tcPr>
            <w:tcW w:type="dxa" w:w="5953"/>
            <w:shd w:fill="F8FAFC" w:val="clear"/>
          </w:tcPr>
          <w:p>
            <w:r>
              <w:t>將理論報酬折減為較接近實務可達成的淨報酬。</w:t>
            </w:r>
          </w:p>
        </w:tc>
      </w:tr>
      <w:tr>
        <w:tc>
          <w:tcPr>
            <w:tcW w:type="dxa" w:w="3402"/>
          </w:tcPr>
          <w:p>
            <w:r>
              <w:t>資產淨值曲線（Equity Curve）</w:t>
            </w:r>
          </w:p>
        </w:tc>
        <w:tc>
          <w:tcPr>
            <w:tcW w:type="dxa" w:w="5953"/>
          </w:tcPr>
          <w:p>
            <w:r>
              <w:t>觀察策略資本隨時間的成長路徑與複利效果。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最大回撤（MDD / Underwater）</w:t>
            </w:r>
          </w:p>
        </w:tc>
        <w:tc>
          <w:tcPr>
            <w:tcW w:type="dxa" w:w="5953"/>
            <w:shd w:fill="F8FAFC" w:val="clear"/>
          </w:tcPr>
          <w:p>
            <w:r>
              <w:t>衡量從高點回落的最壞跌幅，評估壓力承受能力。</w:t>
            </w:r>
          </w:p>
        </w:tc>
      </w:tr>
      <w:tr>
        <w:tc>
          <w:tcPr>
            <w:tcW w:type="dxa" w:w="3402"/>
          </w:tcPr>
          <w:p>
            <w:r>
              <w:t>滾動 Sharpe 比率</w:t>
            </w:r>
          </w:p>
        </w:tc>
        <w:tc>
          <w:tcPr>
            <w:tcW w:type="dxa" w:w="5953"/>
          </w:tcPr>
          <w:p>
            <w:r>
              <w:t>追蹤風險調整報酬是否持續，辨識績效是否衰退。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年度 IC 與滾動 IC</w:t>
            </w:r>
          </w:p>
        </w:tc>
        <w:tc>
          <w:tcPr>
            <w:tcW w:type="dxa" w:w="5953"/>
            <w:shd w:fill="F8FAFC" w:val="clear"/>
          </w:tcPr>
          <w:p>
            <w:r>
              <w:t>檢查預測訊號與實現報酬的關聯強度與穩定性（alpha 衰減）。</w:t>
            </w:r>
          </w:p>
        </w:tc>
      </w:tr>
      <w:tr>
        <w:tc>
          <w:tcPr>
            <w:tcW w:type="dxa" w:w="3402"/>
          </w:tcPr>
          <w:p>
            <w:r>
              <w:t>月報酬熱力圖</w:t>
            </w:r>
          </w:p>
        </w:tc>
        <w:tc>
          <w:tcPr>
            <w:tcW w:type="dxa" w:w="5953"/>
          </w:tcPr>
          <w:p>
            <w:r>
              <w:t>辨識報酬的時間分布與市場狀態敏感性。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Buy and Hold 基準比較</w:t>
            </w:r>
          </w:p>
        </w:tc>
        <w:tc>
          <w:tcPr>
            <w:tcW w:type="dxa" w:w="5953"/>
            <w:shd w:fill="F8FAFC" w:val="clear"/>
          </w:tcPr>
          <w:p>
            <w:r>
              <w:t>判斷策略是否提供超額報酬與較佳風險控制。</w:t>
            </w:r>
          </w:p>
        </w:tc>
      </w:tr>
    </w:tbl>
    <w:p/>
    <w:p>
      <w:r>
        <w:t>驗證集挑選 lambda 仍伴隨輕度多重比較／資料探勘風險；Lo &amp; MacKinlay（1990）說明小樣本調參何以可能放大表面可預測性，故本研究將 Ridge 定位為可複現之規格基準，而非單一「發現 alpha」之宣言。</w:t>
      </w:r>
    </w:p>
    <w:p>
      <w:pPr>
        <w:pStyle w:val="Heading2"/>
      </w:pPr>
      <w:r>
        <w:t>（二）合理性檢查（含狀態）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fill="1E3A5F" w:val="clear"/>
          </w:tcPr>
          <w:p>
            <w:r>
              <w:rPr>
                <w:b/>
                <w:color w:val="FFFFFF"/>
              </w:rPr>
              <w:t>檢查項目</w:t>
            </w:r>
          </w:p>
        </w:tc>
        <w:tc>
          <w:tcPr>
            <w:tcW w:type="dxa" w:w="1587"/>
            <w:shd w:fill="1E3A5F" w:val="clear"/>
          </w:tcPr>
          <w:p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381"/>
            <w:shd w:fill="1E3A5F" w:val="clear"/>
          </w:tcPr>
          <w:p>
            <w:r>
              <w:rPr>
                <w:b/>
                <w:color w:val="FFFFFF"/>
              </w:rPr>
              <w:t>結果摘要</w:t>
            </w:r>
          </w:p>
        </w:tc>
        <w:tc>
          <w:tcPr>
            <w:tcW w:type="dxa" w:w="2381"/>
            <w:shd w:fill="1E3A5F" w:val="clear"/>
          </w:tcPr>
          <w:p>
            <w:r>
              <w:rPr>
                <w:b/>
                <w:color w:val="FFFFFF"/>
              </w:rPr>
              <w:t>剩餘風險</w:t>
            </w:r>
          </w:p>
        </w:tc>
      </w:tr>
      <w:tr>
        <w:tc>
          <w:tcPr>
            <w:tcW w:type="dxa" w:w="2154"/>
            <w:shd w:fill="F8FAFC" w:val="clear"/>
          </w:tcPr>
          <w:p>
            <w:r>
              <w:t>Look-ahead (features vs TW date)</w:t>
            </w:r>
          </w:p>
        </w:tc>
        <w:tc>
          <w:tcPr>
            <w:tcW w:type="dxa" w:w="1587"/>
            <w:shd w:fill="F8FAFC" w:val="clear"/>
          </w:tcPr>
          <w:p>
            <w:r>
              <w:t>Pass (by construction)</w:t>
            </w:r>
          </w:p>
        </w:tc>
        <w:tc>
          <w:tcPr>
            <w:tcW w:type="dxa" w:w="2381"/>
            <w:shd w:fill="F8FAFC" w:val="clear"/>
          </w:tcPr>
          <w:p>
            <w:r>
              <w:t>Each TW row uses the last completed U.S. session strictly before the TW calendar date.</w:t>
            </w:r>
          </w:p>
        </w:tc>
        <w:tc>
          <w:tcPr>
            <w:tcW w:type="dxa" w:w="2381"/>
            <w:shd w:fill="F8FAFC" w:val="clear"/>
          </w:tcPr>
          <w:p>
            <w:r>
              <w:t>Manually audit several matched U.S.-Taiwan calendar dates in future work.</w:t>
            </w:r>
          </w:p>
        </w:tc>
      </w:tr>
      <w:tr>
        <w:tc>
          <w:tcPr>
            <w:tcW w:type="dxa" w:w="2154"/>
          </w:tcPr>
          <w:p>
            <w:r>
              <w:t>Test-set IC magnitude (sanity)</w:t>
            </w:r>
          </w:p>
        </w:tc>
        <w:tc>
          <w:tcPr>
            <w:tcW w:type="dxa" w:w="1587"/>
          </w:tcPr>
          <w:p>
            <w:r>
              <w:t>Computed - unusually high for daily equity</w:t>
            </w:r>
          </w:p>
        </w:tc>
        <w:tc>
          <w:tcPr>
            <w:tcW w:type="dxa" w:w="2381"/>
          </w:tcPr>
          <w:p>
            <w:r>
              <w:t>Pearson IC ≈ 0.4553 over n=1041 days.</w:t>
            </w:r>
          </w:p>
        </w:tc>
        <w:tc>
          <w:tcPr>
            <w:tcW w:type="dxa" w:w="2381"/>
          </w:tcPr>
          <w:p>
            <w:r>
              <w:t>High IC can reflect alignment artifacts; cross-check with placebo shifts below and raw calendars.</w:t>
            </w:r>
          </w:p>
        </w:tc>
      </w:tr>
      <w:tr>
        <w:tc>
          <w:tcPr>
            <w:tcW w:type="dxa" w:w="2154"/>
            <w:shd w:fill="F8FAFC" w:val="clear"/>
          </w:tcPr>
          <w:p>
            <w:r>
              <w:t>Alignment placebo (±1 TW-row feature shift)</w:t>
            </w:r>
          </w:p>
        </w:tc>
        <w:tc>
          <w:tcPr>
            <w:tcW w:type="dxa" w:w="1587"/>
            <w:shd w:fill="F8FAFC" w:val="clear"/>
          </w:tcPr>
          <w:p>
            <w:r>
              <w:t>Computed</w:t>
            </w:r>
          </w:p>
        </w:tc>
        <w:tc>
          <w:tcPr>
            <w:tcW w:type="dxa" w:w="2381"/>
            <w:shd w:fill="F8FAFC" w:val="clear"/>
          </w:tcPr>
          <w:p>
            <w:r>
              <w:t>Baseline IC 0.4676; lag-1 feature placebo 0.0360; lead-1 feature placebo 0.2420.</w:t>
            </w:r>
          </w:p>
        </w:tc>
        <w:tc>
          <w:tcPr>
            <w:tcW w:type="dxa" w:w="2381"/>
            <w:shd w:fill="F8FAFC" w:val="clear"/>
          </w:tcPr>
          <w:p>
            <w:r>
              <w:t>If placebo ICs do not collapse vs baseline, revisit merge logic and holidays.</w:t>
            </w:r>
          </w:p>
        </w:tc>
      </w:tr>
      <w:tr>
        <w:tc>
          <w:tcPr>
            <w:tcW w:type="dxa" w:w="2154"/>
          </w:tcPr>
          <w:p>
            <w:r>
              <w:t>Cash vs desired long (execution gap)</w:t>
            </w:r>
          </w:p>
        </w:tc>
        <w:tc>
          <w:tcPr>
            <w:tcW w:type="dxa" w:w="1587"/>
          </w:tcPr>
          <w:p>
            <w:r>
              <w:t>Measured</w:t>
            </w:r>
          </w:p>
        </w:tc>
        <w:tc>
          <w:tcPr>
            <w:tcW w:type="dxa" w:w="2381"/>
          </w:tcPr>
          <w:p>
            <w:r>
              <w:t>Share of days with signal long but flat ≈ 18.25%.</w:t>
            </w:r>
          </w:p>
        </w:tc>
        <w:tc>
          <w:tcPr>
            <w:tcW w:type="dxa" w:w="2381"/>
          </w:tcPr>
          <w:p>
            <w:r>
              <w:t>Integer lots + commission can block full-notional replication.</w:t>
            </w:r>
          </w:p>
        </w:tc>
      </w:tr>
      <w:tr>
        <w:tc>
          <w:tcPr>
            <w:tcW w:type="dxa" w:w="2154"/>
            <w:shd w:fill="F8FAFC" w:val="clear"/>
          </w:tcPr>
          <w:p>
            <w:r>
              <w:t>Survivorship (single-name TSMC)</w:t>
            </w:r>
          </w:p>
        </w:tc>
        <w:tc>
          <w:tcPr>
            <w:tcW w:type="dxa" w:w="1587"/>
            <w:shd w:fill="F8FAFC" w:val="clear"/>
          </w:tcPr>
          <w:p>
            <w:r>
              <w:t>Acknowledged</w:t>
            </w:r>
          </w:p>
        </w:tc>
        <w:tc>
          <w:tcPr>
            <w:tcW w:type="dxa" w:w="2381"/>
            <w:shd w:fill="F8FAFC" w:val="clear"/>
          </w:tcPr>
          <w:p>
            <w:r>
              <w:t>Single liquid mega-cap; no universe screening bias in the narrow sense.</w:t>
            </w:r>
          </w:p>
        </w:tc>
        <w:tc>
          <w:tcPr>
            <w:tcW w:type="dxa" w:w="2381"/>
            <w:shd w:fill="F8FAFC" w:val="clear"/>
          </w:tcPr>
          <w:p>
            <w:r>
              <w:t>Results may not transfer to smaller names or crisis liquidity regimes.</w:t>
            </w:r>
          </w:p>
        </w:tc>
      </w:tr>
      <w:tr>
        <w:tc>
          <w:tcPr>
            <w:tcW w:type="dxa" w:w="2154"/>
          </w:tcPr>
          <w:p>
            <w:r>
              <w:t>Adjusted prices (yfinance auto_adjust)</w:t>
            </w:r>
          </w:p>
        </w:tc>
        <w:tc>
          <w:tcPr>
            <w:tcW w:type="dxa" w:w="1587"/>
          </w:tcPr>
          <w:p>
            <w:r>
              <w:t>Acknowledged</w:t>
            </w:r>
          </w:p>
        </w:tc>
        <w:tc>
          <w:tcPr>
            <w:tcW w:type="dxa" w:w="2381"/>
          </w:tcPr>
          <w:p>
            <w:r>
              <w:t>Adjusted series reinvest dividends into prices; daily returns are comparable for prediction but differ from cash-account cash flows.</w:t>
            </w:r>
          </w:p>
        </w:tc>
        <w:tc>
          <w:tcPr>
            <w:tcW w:type="dxa" w:w="2381"/>
          </w:tcPr>
          <w:p>
            <w:r>
              <w:t>Trade-level PnL can be biased vs adjusted closes (typically smoother long-run paths); prefer raw tradable prints plus explicit dividends for ticket-level simulation.</w:t>
            </w:r>
          </w:p>
        </w:tc>
      </w:tr>
    </w:tbl>
    <w:p/>
    <w:p>
      <w:r>
        <w:t>其餘一般性風險（漲跌停、議價滑價、事件缺口）：本版未逐一數值化檢驗；微結構層面可進一步對照 Harris（2003），並與本報告收對收 proxy 之限制併讀。</w:t>
      </w:r>
    </w:p>
    <w:p>
      <w:pPr>
        <w:pStyle w:val="Heading1"/>
      </w:pPr>
      <w:r>
        <w:t>十一、限制</w:t>
      </w:r>
    </w:p>
    <w:p>
      <w:pPr>
        <w:pStyle w:val="ListBullet"/>
      </w:pPr>
      <w:r>
        <w:t>收對收報酬為持有期 proxy：與「開盤可成交」定義不同，屬本研究可交易性評估之**首要**限制；後續應優先改為開收報酬或開盤價填單對照。</w:t>
      </w:r>
    </w:p>
    <w:p>
      <w:pPr>
        <w:pStyle w:val="ListBullet"/>
      </w:pPr>
      <w:r>
        <w:t>線性規格可能遺漏非線性與結構斷點；未實作滾動視窗重估或 walk-forward，不利於 regime shift。</w:t>
      </w:r>
    </w:p>
    <w:p>
      <w:pPr>
        <w:pStyle w:val="ListBullet"/>
      </w:pPr>
      <w:r>
        <w:t>匯率為即期代理，非完整避險後曝險。僅做多或空手，未涵蓋融券或指數期貨。</w:t>
      </w:r>
    </w:p>
    <w:p>
      <w:pPr>
        <w:pStyle w:val="ListBullet"/>
      </w:pPr>
      <w:r>
        <w:t>驗證集挑選 lambda 具輕度資料探勘風險；未加入多重檢定校正（見 Lo &amp; MacKinlay 1990 對資料探勘偏誤之討論）。</w:t>
      </w:r>
    </w:p>
    <w:p>
      <w:pPr>
        <w:pStyle w:val="Heading1"/>
      </w:pPr>
      <w:r>
        <w:t>十二、結論</w:t>
      </w:r>
    </w:p>
    <w:p>
      <w:r>
        <w:t>統計上，隔夜領先變數對 2330 同日報酬具排序可預測性（IC）；placebo 錯位檢查有助區分「真訊號」與對齊誤差。惟最終可交易結論必須以整數張數、現金與費稅後回測為準；向量化全額持有僅供診斷。本報告刻意並列兩者，凸顯「顯著 IC」未必轉為「正淨報酬」--IC 與可交易損益之差異主要來自執行假設、整張約束與資金規模。在目前 Ridge 規則與整張制執行假設下，不宜將本策略解讀為具經濟意義之可交易 alpha，儘管統計 IC 偏高。實務上可優先評估較穩健之方向基線（如 Logistic／TSM 符號），並將標的報酬改為 open-to-close 作為下一步。</w:t>
      </w:r>
    </w:p>
    <w:p>
      <w:pPr>
        <w:pStyle w:val="Heading1"/>
      </w:pPr>
      <w:r>
        <w:t>附錄：圖表（測試集）</w:t>
      </w:r>
    </w:p>
    <w:p>
      <w:r>
        <w:t>圖檔檔名區分 realistic（主結果）與 vec（診斷）；下列各圖附一句解讀。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74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curve_realis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1　淨值（實務）</w:t>
      </w:r>
    </w:p>
    <w:p>
      <w:r>
        <w:t>實務路徑在 2024-2026 多數時間未能充分參與灰線基準之波段，凸顯空手與整張約束之機會成本。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74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d_underwater_realis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2　回撤（實務）</w:t>
      </w:r>
    </w:p>
    <w:p>
      <w:r>
        <w:t>2024 後回撤幅度一度收斂，但相對基準之落後未必同步收斂。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74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sharpe_realis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3　滾動 Sharpe（實務）</w:t>
      </w:r>
    </w:p>
    <w:p>
      <w:r>
        <w:t>若 2025 之後滾動 Sharpe 再度轉負，表示在實務執行下風險調整報酬未能穩定延續。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74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turns_heatmap_realist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4　月報酬熱圖（實務）</w:t>
      </w:r>
    </w:p>
    <w:p>
      <w:r>
        <w:t>虧損若集中於 2025 年 M3-M4 等區段，可解釋年度績效下挫之主因。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74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curve_vectoriz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5　淨值（向量化）</w:t>
      </w:r>
    </w:p>
    <w:p>
      <w:r>
        <w:t>診斷用：全額持有假設；勿與主結果混讀。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74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d_underwater_vectoriz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6　回撤（向量化）</w:t>
      </w:r>
    </w:p>
    <w:p>
      <w:r>
        <w:t>對照用；通常較實務樂觀。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740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turns_heatmap_vectoriz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7　月報酬熱圖（向量化）</w:t>
      </w:r>
    </w:p>
    <w:p>
      <w:r>
        <w:t>診斷對照：不宜直接與實務淨值結論混讀。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740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by_ye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8　年度 IC</w:t>
      </w:r>
    </w:p>
    <w:p>
      <w:r>
        <w:t>IC 為正亦不保證每年實務獲利。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4740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9　滾動 IC</w:t>
      </w:r>
    </w:p>
    <w:p>
      <w:r>
        <w:t>可檢視排序力是否隨時間漂移。</w:t>
      </w:r>
    </w:p>
    <w:p/>
    <w:p>
      <w:pPr>
        <w:pStyle w:val="Heading1"/>
      </w:pPr>
      <w:r>
        <w:t>重現方式</w:t>
      </w:r>
    </w:p>
    <w:p>
      <w:r>
        <w:t>於專案根目錄執行 .venv/bin/python strategy_lab/run_overnight_signal.py，再執行 .venv/bin/python strategy_lab/generate_quant_report_docx.py。若需列印或繳交 PDF，建議將附錄圖表以約 200-300 dpi 重新匯出後替換 output 內 PNG，以維持字級清晰。</w:t>
      </w:r>
    </w:p>
    <w:p>
      <w:pPr>
        <w:pStyle w:val="Heading1"/>
      </w:pPr>
      <w:r>
        <w:t>參考資料</w:t>
      </w:r>
    </w:p>
    <w:p>
      <w:pPr>
        <w:pStyle w:val="ListBullet"/>
      </w:pPr>
      <w:r>
        <w:t>Hasbrouck, J. (1995). One security, many markets: Determining the contributions to price discovery. Journal of Finance.</w:t>
      </w:r>
    </w:p>
    <w:p>
      <w:pPr>
        <w:pStyle w:val="ListBullet"/>
      </w:pPr>
      <w:r>
        <w:t>Eun, C. S., &amp; Sabherwal, S. (2003). Cross-border listings and price discovery: Evidence from U.S.-listed Canadian stocks. Journal of Finance.</w:t>
      </w:r>
    </w:p>
    <w:p>
      <w:pPr>
        <w:pStyle w:val="ListBullet"/>
      </w:pPr>
      <w:r>
        <w:t>Harris, L. (2003). Trading and Exchanges: Market Microstructure for Practitioners. Oxford University Press.</w:t>
      </w:r>
    </w:p>
    <w:p>
      <w:pPr>
        <w:pStyle w:val="ListBullet"/>
      </w:pPr>
      <w:r>
        <w:t>Lo, A. W., &amp; MacKinlay, A. C. (1990). Data-snooping biases in tests of financial asset pricing models. Review of Financial Studies.</w:t>
      </w:r>
    </w:p>
    <w:p>
      <w:pPr>
        <w:pStyle w:val="ListBullet"/>
      </w:pPr>
      <w:r>
        <w:t>yfinance（美股／匯率日線資料來源；擷取／查閱：2026 年 5 月）。</w:t>
      </w:r>
    </w:p>
    <w:p>
      <w:pPr>
        <w:pStyle w:val="ListBullet"/>
      </w:pPr>
      <w:r>
        <w:t>AlphaEdge 專案 core/backtest/README.md（回測架構說明）。</w:t>
      </w:r>
    </w:p>
    <w:p>
      <w:pPr>
        <w:pStyle w:val="ListBullet"/>
      </w:pPr>
      <w:r>
        <w:t>課程期末報告原始稿（手續費與樣本假設）。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20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