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Microsoft JhengHei"/>
          <w:b/>
          <w:color w:val="0F172A"/>
          <w:sz w:val="52"/>
        </w:rPr>
        <w:t>台積電跨市場定價與隔夜訊號研究</w:t>
      </w:r>
    </w:p>
    <w:p>
      <w:pPr>
        <w:jc w:val="center"/>
      </w:pPr>
      <w:r>
        <w:rPr>
          <w:rFonts w:ascii="Calibri" w:hAnsi="Calibri" w:eastAsia="Microsoft JhengHei"/>
          <w:color w:val="334155"/>
          <w:sz w:val="28"/>
        </w:rPr>
        <w:t>ADR、費城半導體與匯率之領先資訊：Ridge 預測與歷史回測</w:t>
      </w:r>
    </w:p>
    <w:p>
      <w:pPr>
        <w:jc w:val="center"/>
      </w:pPr>
      <w:r>
        <w:rPr>
          <w:rFonts w:ascii="Calibri" w:hAnsi="Calibri" w:eastAsia="Microsoft JhengHei"/>
          <w:i/>
          <w:color w:val="64748B"/>
          <w:sz w:val="20"/>
        </w:rPr>
        <w:t>量化回測報告 · AlphaEdge RAST 研究模組</w:t>
      </w:r>
    </w:p>
    <w:p/>
    <w:p>
      <w:pPr>
        <w:jc w:val="center"/>
      </w:pPr>
      <w:r>
        <w:rPr>
          <w:sz w:val="22"/>
        </w:rPr>
        <w:t>報告產製日期：2026 年 04 月 30 日</w:t>
      </w:r>
    </w:p>
    <w:p>
      <w:r>
        <w:br w:type="page"/>
      </w:r>
    </w:p>
    <w:p>
      <w:pPr>
        <w:pStyle w:val="Heading1"/>
      </w:pPr>
      <w:r>
        <w:t>摘要</w:t>
      </w:r>
    </w:p>
    <w:p>
      <w:r>
        <w:t>本研究探討台積電美國存託憑證與台股現貨之跨市場資訊傳遞：在美國市場與匯率已於台股開盤前結束交易的前提下，以台積電 ADR（TSM）、費城半導體指數（SOX）與台幣兌美元（TWD=X）之報酬作為領先特徵，以 Ridge 迴歸預測台股 2330.TW 當日報酬，並採做多或空手之日頻簡化回測。資料來自 yfinance；指標命名對齊 AlphaEdge 回測慣例。</w:t>
      </w:r>
    </w:p>
    <w:p>
      <w:r>
        <w:rPr>
          <w:i/>
        </w:rPr>
        <w:t>聲明：本文件僅供學術與課程專題展示，不構成投資建議；實務交易含流動性、稅費、法規與執行落差。</w:t>
      </w:r>
    </w:p>
    <w:p>
      <w:pPr>
        <w:pStyle w:val="Heading1"/>
      </w:pPr>
      <w:r>
        <w:t>一、研究設計與樣本切分</w:t>
      </w:r>
    </w:p>
    <w:p>
      <w:r>
        <w:t>訓練集：至 2020-12-31；驗證集：2021 年度（用於 Ridge 懲罰係數 lambda 之網格搜尋）；測試集：2022-01-01 至 2026-04-25。特徵對齊：每一台股交易日 t，取嚴格早於 t 之最後一個美國交易日之報酬，以避免前視偏差。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資料集欄位</w:t>
            </w:r>
          </w:p>
        </w:tc>
        <w:tc>
          <w:tcPr>
            <w:tcW w:type="dxa" w:w="6803"/>
            <w:shd w:fill="1E3A5F" w:val="clear"/>
          </w:tcPr>
          <w:p>
            <w:r>
              <w:rPr>
                <w:b/>
                <w:color w:val="FFFFFF"/>
              </w:rPr>
              <w:t>內容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回測總區間</w:t>
            </w:r>
          </w:p>
        </w:tc>
        <w:tc>
          <w:tcPr>
            <w:tcW w:type="dxa" w:w="6803"/>
            <w:shd w:fill="F8FAFC" w:val="clear"/>
          </w:tcPr>
          <w:p>
            <w:r>
              <w:t>2020-01-01 ~ 2026-04-25</w:t>
            </w:r>
          </w:p>
        </w:tc>
      </w:tr>
      <w:tr>
        <w:tc>
          <w:tcPr>
            <w:tcW w:type="dxa" w:w="2551"/>
          </w:tcPr>
          <w:p>
            <w:r>
              <w:t>訓練集</w:t>
            </w:r>
          </w:p>
        </w:tc>
        <w:tc>
          <w:tcPr>
            <w:tcW w:type="dxa" w:w="6803"/>
          </w:tcPr>
          <w:p>
            <w:r>
              <w:t>2020-01-01 ~ 2020-12-31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驗證集</w:t>
            </w:r>
          </w:p>
        </w:tc>
        <w:tc>
          <w:tcPr>
            <w:tcW w:type="dxa" w:w="6803"/>
            <w:shd w:fill="F8FAFC" w:val="clear"/>
          </w:tcPr>
          <w:p>
            <w:r>
              <w:t>2021-01-01 ~ 2021-12-31</w:t>
            </w:r>
          </w:p>
        </w:tc>
      </w:tr>
      <w:tr>
        <w:tc>
          <w:tcPr>
            <w:tcW w:type="dxa" w:w="2551"/>
          </w:tcPr>
          <w:p>
            <w:r>
              <w:t>測試集</w:t>
            </w:r>
          </w:p>
        </w:tc>
        <w:tc>
          <w:tcPr>
            <w:tcW w:type="dxa" w:w="6803"/>
          </w:tcPr>
          <w:p>
            <w:r>
              <w:t>2022-01-01 ~ 2026-04-25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資料來源</w:t>
            </w:r>
          </w:p>
        </w:tc>
        <w:tc>
          <w:tcPr>
            <w:tcW w:type="dxa" w:w="6803"/>
            <w:shd w:fill="F8FAFC" w:val="clear"/>
          </w:tcPr>
          <w:p>
            <w:r>
              <w:t>yfinance（日線、還原權息）</w:t>
            </w:r>
          </w:p>
        </w:tc>
      </w:tr>
      <w:tr>
        <w:tc>
          <w:tcPr>
            <w:tcW w:type="dxa" w:w="2551"/>
          </w:tcPr>
          <w:p>
            <w:r>
              <w:t>標的與特徵</w:t>
            </w:r>
          </w:p>
        </w:tc>
        <w:tc>
          <w:tcPr>
            <w:tcW w:type="dxa" w:w="6803"/>
          </w:tcPr>
          <w:p>
            <w:r>
              <w:t>2330.TW（目標）；TSM、^SOX、TWD=X（特徵）</w:t>
            </w:r>
          </w:p>
        </w:tc>
      </w:tr>
    </w:tbl>
    <w:p/>
    <w:p>
      <w:pPr>
        <w:pStyle w:val="Heading1"/>
      </w:pPr>
      <w:r>
        <w:t>二、策略邏輯說明</w:t>
      </w:r>
    </w:p>
    <w:p>
      <w:r>
        <w:t>（1）經濟直覺：台股開盤前，美國已歷經完整交易時段，TSM 與半導體板塊（SOX）及台幣走勢已反映隔夜全球資訊，理論上可作為隔日台股報酬之領先指標。</w:t>
      </w:r>
    </w:p>
    <w:p>
      <w:r>
        <w:t>（2）時間對齊：對每個 2330.TW 有成交之日 d，特徵取日曆上早於 d 之最後美國交易日之報酬，確保在台股開盤時點可觀測。</w:t>
      </w:r>
    </w:p>
    <w:p>
      <w:r>
        <w:t>（3）特徵與標的：自變數為該美國交易日之 TSM、SOX、TWD=X 日報酬率；應變數為同日台股 2330.TW 之收盤對前收報酬率（日頻持有期近似）。</w:t>
      </w:r>
    </w:p>
    <w:p>
      <w:r>
        <w:t>（4）估計：以含截距之 Ridge 迴歸估計線性關係，懲罰係數 lambda 在對數網格上搜尋，並以 2021 年驗證集均方誤差決定。</w:t>
      </w:r>
    </w:p>
    <w:p>
      <w:r>
        <w:t>（5）交易規則：若模型預測之當日報酬大於 0，則以全額資金持有 2330 現貨多單；否則空手（報酬率視為 0，不計融資成本）。</w:t>
      </w:r>
    </w:p>
    <w:p>
      <w:r>
        <w:t>（6）成本：加碼多單時扣買進手續費；減碼或平倉時扣賣出手續費與證交稅，與期末報告假設一致。</w:t>
      </w:r>
    </w:p>
    <w:p>
      <w:r>
        <w:t>（7）買賣時點細化：當 pred_t 大於 0 且前一日空手時，當日視為買進建倉；當 pred_t 小於等於 0 且前一日持有時，當日視為賣出平倉；若連續兩天同為持有或同為空手，則不發生換手成本。</w:t>
      </w:r>
    </w:p>
    <w:p>
      <w:r>
        <w:t>（8）使用 Ridge 的目的：在 TSM、SOX 等高相關特徵下降低共線性衝擊，並以 L2 正則化抑制過擬合，提升樣本外預測穩定度，同時維持線性模型的可解釋性。</w:t>
      </w:r>
    </w:p>
    <w:p>
      <w:pPr>
        <w:pStyle w:val="Heading1"/>
      </w:pPr>
      <w:r>
        <w:t>三、變數與模型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fill="1E3A5F" w:val="clear"/>
          </w:tcPr>
          <w:p>
            <w:r>
              <w:rPr>
                <w:b/>
                <w:color w:val="FFFFFF"/>
              </w:rPr>
              <w:t>資料代號（yfinance）</w:t>
            </w:r>
          </w:p>
        </w:tc>
        <w:tc>
          <w:tcPr>
            <w:tcW w:type="dxa" w:w="6803"/>
            <w:shd w:fill="1E3A5F" w:val="clear"/>
          </w:tcPr>
          <w:p>
            <w:r>
              <w:rPr>
                <w:b/>
                <w:color w:val="FFFFFF"/>
              </w:rPr>
              <w:t>角色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TSM</w:t>
            </w:r>
          </w:p>
        </w:tc>
        <w:tc>
          <w:tcPr>
            <w:tcW w:type="dxa" w:w="6803"/>
            <w:shd w:fill="F8FAFC" w:val="clear"/>
          </w:tcPr>
          <w:p>
            <w:r>
              <w:t>台積電 ADR，美國市場前一日報酬</w:t>
            </w:r>
          </w:p>
        </w:tc>
      </w:tr>
      <w:tr>
        <w:tc>
          <w:tcPr>
            <w:tcW w:type="dxa" w:w="2551"/>
          </w:tcPr>
          <w:p>
            <w:r>
              <w:t>2330.TW</w:t>
            </w:r>
          </w:p>
        </w:tc>
        <w:tc>
          <w:tcPr>
            <w:tcW w:type="dxa" w:w="6803"/>
          </w:tcPr>
          <w:p>
            <w:r>
              <w:t>台股報酬（標的與 Buy and Hold 基準）</w:t>
            </w:r>
          </w:p>
        </w:tc>
      </w:tr>
      <w:tr>
        <w:tc>
          <w:tcPr>
            <w:tcW w:type="dxa" w:w="2551"/>
            <w:shd w:fill="F8FAFC" w:val="clear"/>
          </w:tcPr>
          <w:p>
            <w:r>
              <w:t>^SOX</w:t>
            </w:r>
          </w:p>
        </w:tc>
        <w:tc>
          <w:tcPr>
            <w:tcW w:type="dxa" w:w="6803"/>
            <w:shd w:fill="F8FAFC" w:val="clear"/>
          </w:tcPr>
          <w:p>
            <w:r>
              <w:t>費城半導體指數，產業情緒與 beta 代理</w:t>
            </w:r>
          </w:p>
        </w:tc>
      </w:tr>
      <w:tr>
        <w:tc>
          <w:tcPr>
            <w:tcW w:type="dxa" w:w="2551"/>
          </w:tcPr>
          <w:p>
            <w:r>
              <w:t>TWD=X</w:t>
            </w:r>
          </w:p>
        </w:tc>
        <w:tc>
          <w:tcPr>
            <w:tcW w:type="dxa" w:w="6803"/>
          </w:tcPr>
          <w:p>
            <w:r>
              <w:t>台幣兌美元即期（NDF 之簡化代理）</w:t>
            </w:r>
          </w:p>
        </w:tc>
      </w:tr>
    </w:tbl>
    <w:p/>
    <w:p>
      <w:r>
        <w:t>模型為 Ridge 迴歸，L2 僅施加於斜率；lambda 由驗證集決定後，於訓練加驗證樣本重估係數，再於測試集評估。</w:t>
      </w:r>
    </w:p>
    <w:p>
      <w:pPr>
        <w:pStyle w:val="Heading1"/>
      </w:pPr>
      <w:r>
        <w:t>四、方法與用途說明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402"/>
            <w:shd w:fill="1E3A5F" w:val="clear"/>
          </w:tcPr>
          <w:p>
            <w:r>
              <w:rPr>
                <w:b/>
                <w:color w:val="FFFFFF"/>
              </w:rPr>
              <w:t>方法</w:t>
            </w:r>
          </w:p>
        </w:tc>
        <w:tc>
          <w:tcPr>
            <w:tcW w:type="dxa" w:w="5953"/>
            <w:shd w:fill="1E3A5F" w:val="clear"/>
          </w:tcPr>
          <w:p>
            <w:r>
              <w:rPr>
                <w:b/>
                <w:color w:val="FFFFFF"/>
              </w:rPr>
              <w:t>用途說明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Ridge 迴歸（L2 正則化）</w:t>
            </w:r>
          </w:p>
        </w:tc>
        <w:tc>
          <w:tcPr>
            <w:tcW w:type="dxa" w:w="5953"/>
            <w:shd w:fill="F8FAFC" w:val="clear"/>
          </w:tcPr>
          <w:p>
            <w:r>
              <w:t>降低過擬合與共線性風險，讓係數更穩定，提升樣本外泛化能力。</w:t>
            </w:r>
          </w:p>
        </w:tc>
      </w:tr>
      <w:tr>
        <w:tc>
          <w:tcPr>
            <w:tcW w:type="dxa" w:w="3402"/>
          </w:tcPr>
          <w:p>
            <w:r>
              <w:t>訓練／驗證／測試切分</w:t>
            </w:r>
          </w:p>
        </w:tc>
        <w:tc>
          <w:tcPr>
            <w:tcW w:type="dxa" w:w="5953"/>
          </w:tcPr>
          <w:p>
            <w:r>
              <w:t>隔離調參與最終評估，避免資料洩漏與過度樂觀績效。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對數網格搜尋 lambda</w:t>
            </w:r>
          </w:p>
        </w:tc>
        <w:tc>
          <w:tcPr>
            <w:tcW w:type="dxa" w:w="5953"/>
            <w:shd w:fill="F8FAFC" w:val="clear"/>
          </w:tcPr>
          <w:p>
            <w:r>
              <w:t>系統化尋找正則化強度，在偏差與變異之間取得平衡。</w:t>
            </w:r>
          </w:p>
        </w:tc>
      </w:tr>
      <w:tr>
        <w:tc>
          <w:tcPr>
            <w:tcW w:type="dxa" w:w="3402"/>
          </w:tcPr>
          <w:p>
            <w:r>
              <w:t>做多或空手規則（long or flat）</w:t>
            </w:r>
          </w:p>
        </w:tc>
        <w:tc>
          <w:tcPr>
            <w:tcW w:type="dxa" w:w="5953"/>
          </w:tcPr>
          <w:p>
            <w:r>
              <w:t>將連續預測轉為可執行訊號，降低雙邊摩擦與放空限制影響。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交易成本建模（手續費、證交稅）</w:t>
            </w:r>
          </w:p>
        </w:tc>
        <w:tc>
          <w:tcPr>
            <w:tcW w:type="dxa" w:w="5953"/>
            <w:shd w:fill="F8FAFC" w:val="clear"/>
          </w:tcPr>
          <w:p>
            <w:r>
              <w:t>將理論報酬折減為較接近實務可達成的淨報酬。</w:t>
            </w:r>
          </w:p>
        </w:tc>
      </w:tr>
      <w:tr>
        <w:tc>
          <w:tcPr>
            <w:tcW w:type="dxa" w:w="3402"/>
          </w:tcPr>
          <w:p>
            <w:r>
              <w:t>資產淨值曲線（Equity Curve）</w:t>
            </w:r>
          </w:p>
        </w:tc>
        <w:tc>
          <w:tcPr>
            <w:tcW w:type="dxa" w:w="5953"/>
          </w:tcPr>
          <w:p>
            <w:r>
              <w:t>觀察策略資本隨時間的成長路徑與複利效果。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最大回撤（MDD / Underwater）</w:t>
            </w:r>
          </w:p>
        </w:tc>
        <w:tc>
          <w:tcPr>
            <w:tcW w:type="dxa" w:w="5953"/>
            <w:shd w:fill="F8FAFC" w:val="clear"/>
          </w:tcPr>
          <w:p>
            <w:r>
              <w:t>衡量從高點回落的最壞跌幅，評估壓力承受能力。</w:t>
            </w:r>
          </w:p>
        </w:tc>
      </w:tr>
      <w:tr>
        <w:tc>
          <w:tcPr>
            <w:tcW w:type="dxa" w:w="3402"/>
          </w:tcPr>
          <w:p>
            <w:r>
              <w:t>滾動 Sharpe 比率</w:t>
            </w:r>
          </w:p>
        </w:tc>
        <w:tc>
          <w:tcPr>
            <w:tcW w:type="dxa" w:w="5953"/>
          </w:tcPr>
          <w:p>
            <w:r>
              <w:t>追蹤風險調整報酬是否持續，辨識績效是否衰退。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年度 IC 與滾動 IC</w:t>
            </w:r>
          </w:p>
        </w:tc>
        <w:tc>
          <w:tcPr>
            <w:tcW w:type="dxa" w:w="5953"/>
            <w:shd w:fill="F8FAFC" w:val="clear"/>
          </w:tcPr>
          <w:p>
            <w:r>
              <w:t>檢查預測訊號與實現報酬的關聯強度與穩定性（alpha 衰減）。</w:t>
            </w:r>
          </w:p>
        </w:tc>
      </w:tr>
      <w:tr>
        <w:tc>
          <w:tcPr>
            <w:tcW w:type="dxa" w:w="3402"/>
          </w:tcPr>
          <w:p>
            <w:r>
              <w:t>月報酬熱力圖</w:t>
            </w:r>
          </w:p>
        </w:tc>
        <w:tc>
          <w:tcPr>
            <w:tcW w:type="dxa" w:w="5953"/>
          </w:tcPr>
          <w:p>
            <w:r>
              <w:t>辨識報酬的時間分布與市場狀態敏感性。</w:t>
            </w:r>
          </w:p>
        </w:tc>
      </w:tr>
      <w:tr>
        <w:tc>
          <w:tcPr>
            <w:tcW w:type="dxa" w:w="3402"/>
            <w:shd w:fill="F8FAFC" w:val="clear"/>
          </w:tcPr>
          <w:p>
            <w:r>
              <w:t>Buy and Hold 基準比較</w:t>
            </w:r>
          </w:p>
        </w:tc>
        <w:tc>
          <w:tcPr>
            <w:tcW w:type="dxa" w:w="5953"/>
            <w:shd w:fill="F8FAFC" w:val="clear"/>
          </w:tcPr>
          <w:p>
            <w:r>
              <w:t>判斷策略是否提供超額報酬與較佳風險控制。</w:t>
            </w:r>
          </w:p>
        </w:tc>
      </w:tr>
    </w:tbl>
    <w:p/>
    <w:p>
      <w:pPr>
        <w:pStyle w:val="Heading1"/>
      </w:pPr>
      <w:r>
        <w:t>五、測試集績效彙總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fill="1E3A5F" w:val="clear"/>
          </w:tcPr>
          <w:p>
            <w:r>
              <w:rPr>
                <w:b/>
                <w:color w:val="FFFFFF"/>
              </w:rPr>
              <w:t>指標</w:t>
            </w:r>
          </w:p>
        </w:tc>
        <w:tc>
          <w:tcPr>
            <w:tcW w:type="dxa" w:w="6236"/>
            <w:shd w:fill="1E3A5F" w:val="clear"/>
          </w:tcPr>
          <w:p>
            <w:r>
              <w:rPr>
                <w:b/>
                <w:color w:val="FFFFFF"/>
              </w:rPr>
              <w:t>數值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樣本交易日數（測試集）</w:t>
            </w:r>
          </w:p>
        </w:tc>
        <w:tc>
          <w:tcPr>
            <w:tcW w:type="dxa" w:w="6236"/>
            <w:shd w:fill="F8FAFC" w:val="clear"/>
          </w:tcPr>
          <w:p>
            <w:r>
              <w:t>1000.0</w:t>
            </w:r>
          </w:p>
        </w:tc>
      </w:tr>
      <w:tr>
        <w:tc>
          <w:tcPr>
            <w:tcW w:type="dxa" w:w="3118"/>
          </w:tcPr>
          <w:p>
            <w:r>
              <w:t>策略累積報酬（淨值倍數 -1）</w:t>
            </w:r>
          </w:p>
        </w:tc>
        <w:tc>
          <w:tcPr>
            <w:tcW w:type="dxa" w:w="6236"/>
          </w:tcPr>
          <w:p>
            <w:r>
              <w:t>27.0631 (wealth approx 28.06x)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Buy and Hold 累積報酬</w:t>
            </w:r>
          </w:p>
        </w:tc>
        <w:tc>
          <w:tcPr>
            <w:tcW w:type="dxa" w:w="6236"/>
            <w:shd w:fill="F8FAFC" w:val="clear"/>
          </w:tcPr>
          <w:p>
            <w:r>
              <w:t>4.0604 (wealth approx 5.06x)</w:t>
            </w:r>
          </w:p>
        </w:tc>
      </w:tr>
      <w:tr>
        <w:tc>
          <w:tcPr>
            <w:tcW w:type="dxa" w:w="3118"/>
          </w:tcPr>
          <w:p>
            <w:r>
              <w:t>策略年化報酬（CAGR）</w:t>
            </w:r>
          </w:p>
        </w:tc>
        <w:tc>
          <w:tcPr>
            <w:tcW w:type="dxa" w:w="6236"/>
          </w:tcPr>
          <w:p>
            <w:r>
              <w:t>117.01%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B and H 年化報酬（CAGR）</w:t>
            </w:r>
          </w:p>
        </w:tc>
        <w:tc>
          <w:tcPr>
            <w:tcW w:type="dxa" w:w="6236"/>
            <w:shd w:fill="F8FAFC" w:val="clear"/>
          </w:tcPr>
          <w:p>
            <w:r>
              <w:t>45.75%</w:t>
            </w:r>
          </w:p>
        </w:tc>
      </w:tr>
      <w:tr>
        <w:tc>
          <w:tcPr>
            <w:tcW w:type="dxa" w:w="3118"/>
          </w:tcPr>
          <w:p>
            <w:r>
              <w:t>策略年化波動率</w:t>
            </w:r>
          </w:p>
        </w:tc>
        <w:tc>
          <w:tcPr>
            <w:tcW w:type="dxa" w:w="6236"/>
          </w:tcPr>
          <w:p>
            <w:r>
              <w:t>23.05%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策略 Sharpe（日頻、Rf 約 2% 年化）</w:t>
            </w:r>
          </w:p>
        </w:tc>
        <w:tc>
          <w:tcPr>
            <w:tcW w:type="dxa" w:w="6236"/>
            <w:shd w:fill="F8FAFC" w:val="clear"/>
          </w:tcPr>
          <w:p>
            <w:r>
              <w:t>3.678</w:t>
            </w:r>
          </w:p>
        </w:tc>
      </w:tr>
      <w:tr>
        <w:tc>
          <w:tcPr>
            <w:tcW w:type="dxa" w:w="3118"/>
          </w:tcPr>
          <w:p>
            <w:r>
              <w:t>B and H Sharpe</w:t>
            </w:r>
          </w:p>
        </w:tc>
        <w:tc>
          <w:tcPr>
            <w:tcW w:type="dxa" w:w="6236"/>
          </w:tcPr>
          <w:p>
            <w:r>
              <w:t>1.410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策略最大回撤（MDD）</w:t>
            </w:r>
          </w:p>
        </w:tc>
        <w:tc>
          <w:tcPr>
            <w:tcW w:type="dxa" w:w="6236"/>
            <w:shd w:fill="F8FAFC" w:val="clear"/>
          </w:tcPr>
          <w:p>
            <w:r>
              <w:t>-9.43%</w:t>
            </w:r>
          </w:p>
        </w:tc>
      </w:tr>
      <w:tr>
        <w:tc>
          <w:tcPr>
            <w:tcW w:type="dxa" w:w="3118"/>
          </w:tcPr>
          <w:p>
            <w:r>
              <w:t>B and H 最大回撤（MDD）</w:t>
            </w:r>
          </w:p>
        </w:tc>
        <w:tc>
          <w:tcPr>
            <w:tcW w:type="dxa" w:w="6236"/>
          </w:tcPr>
          <w:p>
            <w:r>
              <w:t>-38.55%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卡瑪比率（年化除以絕對 MDD）</w:t>
            </w:r>
          </w:p>
        </w:tc>
        <w:tc>
          <w:tcPr>
            <w:tcW w:type="dxa" w:w="6236"/>
            <w:shd w:fill="F8FAFC" w:val="clear"/>
          </w:tcPr>
          <w:p>
            <w:r>
              <w:t>12.41</w:t>
            </w:r>
          </w:p>
        </w:tc>
      </w:tr>
      <w:tr>
        <w:tc>
          <w:tcPr>
            <w:tcW w:type="dxa" w:w="3118"/>
          </w:tcPr>
          <w:p>
            <w:r>
              <w:t>做多日勝率</w:t>
            </w:r>
          </w:p>
        </w:tc>
        <w:tc>
          <w:tcPr>
            <w:tcW w:type="dxa" w:w="6236"/>
          </w:tcPr>
          <w:p>
            <w:r>
              <w:t>64.98%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Ridge 懲罰係數 lambda（驗證集選出）</w:t>
            </w:r>
          </w:p>
        </w:tc>
        <w:tc>
          <w:tcPr>
            <w:tcW w:type="dxa" w:w="6236"/>
            <w:shd w:fill="F8FAFC" w:val="clear"/>
          </w:tcPr>
          <w:p>
            <w:r>
              <w:t>0.025929</w:t>
            </w:r>
          </w:p>
        </w:tc>
      </w:tr>
      <w:tr>
        <w:tc>
          <w:tcPr>
            <w:tcW w:type="dxa" w:w="3118"/>
          </w:tcPr>
          <w:p>
            <w:r>
              <w:t>買進手續費率</w:t>
            </w:r>
          </w:p>
        </w:tc>
        <w:tc>
          <w:tcPr>
            <w:tcW w:type="dxa" w:w="6236"/>
          </w:tcPr>
          <w:p>
            <w:r>
              <w:t>0.14%</w:t>
            </w:r>
          </w:p>
        </w:tc>
      </w:tr>
      <w:tr>
        <w:tc>
          <w:tcPr>
            <w:tcW w:type="dxa" w:w="3118"/>
            <w:shd w:fill="F8FAFC" w:val="clear"/>
          </w:tcPr>
          <w:p>
            <w:r>
              <w:t>賣出手續費加證交稅</w:t>
            </w:r>
          </w:p>
        </w:tc>
        <w:tc>
          <w:tcPr>
            <w:tcW w:type="dxa" w:w="6236"/>
            <w:shd w:fill="F8FAFC" w:val="clear"/>
          </w:tcPr>
          <w:p>
            <w:r>
              <w:t>0.44%</w:t>
            </w:r>
          </w:p>
        </w:tc>
      </w:tr>
    </w:tbl>
    <w:p/>
    <w:p>
      <w:pPr>
        <w:pStyle w:val="Heading1"/>
      </w:pPr>
      <w:r>
        <w:t>六、圖表與視覺化分析</w:t>
      </w:r>
    </w:p>
    <w:p>
      <w:r>
        <w:t>以下圖表由回測程式輸出（PNG），依序為淨值、回撤、滾動夏普、月報酬熱圖、年度 IC、滾動 IC。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uity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1　資產淨值曲線：本策略與 Buy and Hold 2330.TW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dd_underwate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2　最大回撤（水下曲線）：策略與基準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sharp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3　滾動夏普比率（約 63 交易日，年化）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nthly_returns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4　月報酬率熱力圖（百分比）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c_by_yea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5　預測與實現報酬之年度資訊係數 IC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0494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lling_i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0494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75569"/>
          <w:sz w:val="20"/>
        </w:rPr>
        <w:t>圖 6　滾動 IC（126 交易日窗口）</w:t>
      </w:r>
    </w:p>
    <w:p/>
    <w:p>
      <w:pPr>
        <w:pStyle w:val="Heading1"/>
      </w:pPr>
      <w:r>
        <w:t>七、風險因素與限制</w:t>
      </w:r>
    </w:p>
    <w:p>
      <w:pPr>
        <w:pStyle w:val="ListBullet"/>
      </w:pPr>
      <w:r>
        <w:t>線性 Ridge 可能無法捕捉非線性與結構斷點；未實作梯度提升樹與線上重訓。</w:t>
      </w:r>
    </w:p>
    <w:p>
      <w:pPr>
        <w:pStyle w:val="ListBullet"/>
      </w:pPr>
      <w:r>
        <w:t>匯率使用即期代理，非避險後之淨曝險。</w:t>
      </w:r>
    </w:p>
    <w:p>
      <w:pPr>
        <w:pStyle w:val="ListBullet"/>
      </w:pPr>
      <w:r>
        <w:t>未模擬漲跌停、開盤撮合、滑價與期貨保證金與換月。</w:t>
      </w:r>
    </w:p>
    <w:p>
      <w:pPr>
        <w:pStyle w:val="ListBullet"/>
      </w:pPr>
      <w:r>
        <w:t>僅做多或空手，未涵蓋融券或指數期貨。</w:t>
      </w:r>
    </w:p>
    <w:p>
      <w:pPr>
        <w:pStyle w:val="ListBullet"/>
      </w:pPr>
      <w:r>
        <w:t>驗證集參與 lambda 選擇可能帶來輕度資料探勘。</w:t>
      </w:r>
    </w:p>
    <w:p>
      <w:pPr>
        <w:pStyle w:val="Heading1"/>
      </w:pPr>
      <w:r>
        <w:t>八、重現方式</w:t>
      </w:r>
    </w:p>
    <w:p>
      <w:r>
        <w:t>於 AlphaEdge 專案根目錄執行 .venv/bin/python RAST/run_overnight_signal.py 產出圖表與 CSV；再執行 .venv/bin/python RAST/generate_quant_report_docx.py 產生本報告。</w:t>
      </w:r>
    </w:p>
    <w:p>
      <w:pPr>
        <w:pStyle w:val="Heading1"/>
      </w:pPr>
      <w:r>
        <w:t>參考資料</w:t>
      </w:r>
    </w:p>
    <w:p>
      <w:pPr>
        <w:pStyle w:val="ListBullet"/>
      </w:pPr>
      <w:r>
        <w:t>yfinance；AlphaEdge core/backtest/README.md；課程期末報告原始稿（成本與樣本假設）。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83" w:after="120"/>
    </w:pPr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1E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