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line="276" w:lineRule="auto"/>
        <w:jc w:val="center"/>
      </w:pPr>
      <w:r>
        <w:rPr>
          <w:rFonts w:ascii="Times New Roman" w:hAnsi="Times New Roman" w:eastAsia="Times New Roman"/>
          <w:b/>
          <w:i w:val="0"/>
          <w:sz w:val="30"/>
        </w:rPr>
        <w:t>BÁO CÁO PHÂN TÍCH KẾT QUẢ TỐT NGHIỆP NĂM HỌC 2025–2026</w:t>
      </w:r>
    </w:p>
    <w:p>
      <w:pPr>
        <w:keepNext w:val="0"/>
        <w:spacing w:after="40" w:line="276" w:lineRule="auto"/>
        <w:jc w:val="center"/>
      </w:pPr>
      <w:r>
        <w:rPr>
          <w:rFonts w:ascii="Times New Roman" w:hAnsi="Times New Roman" w:eastAsia="Times New Roman"/>
          <w:b w:val="0"/>
          <w:i w:val="0"/>
          <w:sz w:val="26"/>
        </w:rPr>
        <w:t>Khoa Kinh tế và Kinh doanh Quốc tế — Trường Đại học Kinh tế, ĐHQGHN</w:t>
      </w:r>
    </w:p>
    <w:p>
      <w:pPr>
        <w:keepNext w:val="0"/>
        <w:spacing w:after="280" w:line="276" w:lineRule="auto"/>
        <w:jc w:val="center"/>
      </w:pPr>
      <w:r>
        <w:rPr>
          <w:rFonts w:ascii="Times New Roman" w:hAnsi="Times New Roman" w:eastAsia="Times New Roman"/>
          <w:b w:val="0"/>
          <w:i/>
          <w:sz w:val="22"/>
        </w:rPr>
        <w:t>Người thực hiện: Nguyễn Quốc Khánh | Công cụ: Python (pandas, scipy, matplotlib)</w:t>
      </w:r>
    </w:p>
    <w:p>
      <w:pPr>
        <w:keepNext/>
        <w:spacing w:after="120" w:line="276" w:lineRule="auto"/>
      </w:pPr>
      <w:r>
        <w:rPr>
          <w:rFonts w:ascii="Times New Roman" w:hAnsi="Times New Roman" w:eastAsia="Times New Roman"/>
          <w:b/>
          <w:i w:val="0"/>
          <w:sz w:val="26"/>
        </w:rPr>
        <w:t>1. Dữ liệu và phương pháp</w:t>
      </w:r>
    </w:p>
    <w:p>
      <w:pPr>
        <w:keepNext w:val="0"/>
        <w:spacing w:after="120" w:line="276" w:lineRule="auto"/>
        <w:jc w:val="both"/>
      </w:pPr>
      <w:r>
        <w:rPr>
          <w:rFonts w:ascii="Times New Roman" w:hAnsi="Times New Roman" w:eastAsia="Times New Roman"/>
          <w:b w:val="0"/>
          <w:i w:val="0"/>
          <w:sz w:val="26"/>
        </w:rPr>
        <w:t>Báo cáo sử dụng danh sách tốt nghiệp năm học 2025–2026, gồm 316 cử nhân sau khi loại 2 quan sát thiếu GPA, 13 học viên cao học và 21 nghiên cứu sinh. Dữ liệu được làm sạch và phân tích bằng Python. Các kỹ thuật được sử dụng gồm thống kê mô tả, trực quan hóa dữ liệu, kiểm định t hai mẫu độc lập theo phương pháp Welch và kiểm định Chi bình phương. Kết quả được trình bày ở dạng tổng hợp, không công bố thông tin định danh cá nhân.</w:t>
      </w:r>
    </w:p>
    <w:p>
      <w:pPr>
        <w:keepNext/>
        <w:spacing w:after="120" w:line="276" w:lineRule="auto"/>
      </w:pPr>
      <w:r>
        <w:rPr>
          <w:rFonts w:ascii="Times New Roman" w:hAnsi="Times New Roman" w:eastAsia="Times New Roman"/>
          <w:b/>
          <w:i w:val="0"/>
          <w:sz w:val="26"/>
        </w:rPr>
        <w:t>2. Kết quả phân tích</w:t>
      </w:r>
    </w:p>
    <w:p>
      <w:pPr>
        <w:keepNext/>
        <w:spacing w:after="80" w:line="276" w:lineRule="auto"/>
      </w:pPr>
      <w:r>
        <w:rPr>
          <w:rFonts w:ascii="Times New Roman" w:hAnsi="Times New Roman" w:eastAsia="Times New Roman"/>
          <w:b/>
          <w:i w:val="0"/>
          <w:sz w:val="24"/>
        </w:rPr>
        <w:t>Bảng 1. Thống kê mô tả GPA bậc cử nhân (thang 4,0)</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vAlign w:val="center"/>
            <w:shd w:fill="D9E2F3"/>
          </w:tcPr>
          <w:p>
            <w:pPr>
              <w:jc w:val="center"/>
            </w:pPr>
            <w:r/>
            <w:r>
              <w:rPr>
                <w:rFonts w:ascii="Times New Roman" w:hAnsi="Times New Roman" w:eastAsia="Times New Roman"/>
                <w:b/>
                <w:sz w:val="20"/>
              </w:rPr>
              <w:t>Nhóm</w:t>
            </w:r>
          </w:p>
        </w:tc>
        <w:tc>
          <w:tcPr>
            <w:tcW w:type="dxa" w:w="1045"/>
            <w:vAlign w:val="center"/>
            <w:shd w:fill="D9E2F3"/>
          </w:tcPr>
          <w:p>
            <w:pPr>
              <w:jc w:val="center"/>
            </w:pPr>
            <w:r/>
            <w:r>
              <w:rPr>
                <w:rFonts w:ascii="Times New Roman" w:hAnsi="Times New Roman" w:eastAsia="Times New Roman"/>
                <w:b/>
                <w:sz w:val="20"/>
              </w:rPr>
              <w:t>n</w:t>
            </w:r>
          </w:p>
        </w:tc>
        <w:tc>
          <w:tcPr>
            <w:tcW w:type="dxa" w:w="1045"/>
            <w:vAlign w:val="center"/>
            <w:shd w:fill="D9E2F3"/>
          </w:tcPr>
          <w:p>
            <w:pPr>
              <w:jc w:val="center"/>
            </w:pPr>
            <w:r/>
            <w:r>
              <w:rPr>
                <w:rFonts w:ascii="Times New Roman" w:hAnsi="Times New Roman" w:eastAsia="Times New Roman"/>
                <w:b/>
                <w:sz w:val="20"/>
              </w:rPr>
              <w:t>Trung bình</w:t>
            </w:r>
          </w:p>
        </w:tc>
        <w:tc>
          <w:tcPr>
            <w:tcW w:type="dxa" w:w="1045"/>
            <w:vAlign w:val="center"/>
            <w:shd w:fill="D9E2F3"/>
          </w:tcPr>
          <w:p>
            <w:pPr>
              <w:jc w:val="center"/>
            </w:pPr>
            <w:r/>
            <w:r>
              <w:rPr>
                <w:rFonts w:ascii="Times New Roman" w:hAnsi="Times New Roman" w:eastAsia="Times New Roman"/>
                <w:b/>
                <w:sz w:val="20"/>
              </w:rPr>
              <w:t>Độ lệch chuẩn</w:t>
            </w:r>
          </w:p>
        </w:tc>
        <w:tc>
          <w:tcPr>
            <w:tcW w:type="dxa" w:w="1045"/>
            <w:vAlign w:val="center"/>
            <w:shd w:fill="D9E2F3"/>
          </w:tcPr>
          <w:p>
            <w:pPr>
              <w:jc w:val="center"/>
            </w:pPr>
            <w:r/>
            <w:r>
              <w:rPr>
                <w:rFonts w:ascii="Times New Roman" w:hAnsi="Times New Roman" w:eastAsia="Times New Roman"/>
                <w:b/>
                <w:sz w:val="20"/>
              </w:rPr>
              <w:t>Min</w:t>
            </w:r>
          </w:p>
        </w:tc>
        <w:tc>
          <w:tcPr>
            <w:tcW w:type="dxa" w:w="1045"/>
            <w:vAlign w:val="center"/>
            <w:shd w:fill="D9E2F3"/>
          </w:tcPr>
          <w:p>
            <w:pPr>
              <w:jc w:val="center"/>
            </w:pPr>
            <w:r/>
            <w:r>
              <w:rPr>
                <w:rFonts w:ascii="Times New Roman" w:hAnsi="Times New Roman" w:eastAsia="Times New Roman"/>
                <w:b/>
                <w:sz w:val="20"/>
              </w:rPr>
              <w:t>Q1</w:t>
            </w:r>
          </w:p>
        </w:tc>
        <w:tc>
          <w:tcPr>
            <w:tcW w:type="dxa" w:w="1045"/>
            <w:vAlign w:val="center"/>
            <w:shd w:fill="D9E2F3"/>
          </w:tcPr>
          <w:p>
            <w:pPr>
              <w:jc w:val="center"/>
            </w:pPr>
            <w:r/>
            <w:r>
              <w:rPr>
                <w:rFonts w:ascii="Times New Roman" w:hAnsi="Times New Roman" w:eastAsia="Times New Roman"/>
                <w:b/>
                <w:sz w:val="20"/>
              </w:rPr>
              <w:t>Trung vị</w:t>
            </w:r>
          </w:p>
        </w:tc>
        <w:tc>
          <w:tcPr>
            <w:tcW w:type="dxa" w:w="1045"/>
            <w:vAlign w:val="center"/>
            <w:shd w:fill="D9E2F3"/>
          </w:tcPr>
          <w:p>
            <w:pPr>
              <w:jc w:val="center"/>
            </w:pPr>
            <w:r/>
            <w:r>
              <w:rPr>
                <w:rFonts w:ascii="Times New Roman" w:hAnsi="Times New Roman" w:eastAsia="Times New Roman"/>
                <w:b/>
                <w:sz w:val="20"/>
              </w:rPr>
              <w:t>Q3</w:t>
            </w:r>
          </w:p>
        </w:tc>
        <w:tc>
          <w:tcPr>
            <w:tcW w:type="dxa" w:w="1045"/>
            <w:vAlign w:val="center"/>
            <w:shd w:fill="D9E2F3"/>
          </w:tcPr>
          <w:p>
            <w:pPr>
              <w:jc w:val="center"/>
            </w:pPr>
            <w:r/>
            <w:r>
              <w:rPr>
                <w:rFonts w:ascii="Times New Roman" w:hAnsi="Times New Roman" w:eastAsia="Times New Roman"/>
                <w:b/>
                <w:sz w:val="20"/>
              </w:rPr>
              <w:t>Max</w:t>
            </w:r>
          </w:p>
        </w:tc>
      </w:tr>
      <w:tr>
        <w:tc>
          <w:tcPr>
            <w:tcW w:type="dxa" w:w="1045"/>
            <w:vAlign w:val="center"/>
          </w:tcPr>
          <w:p>
            <w:pPr>
              <w:jc w:val="left"/>
            </w:pPr>
            <w:r/>
            <w:r>
              <w:rPr>
                <w:rFonts w:ascii="Times New Roman" w:hAnsi="Times New Roman" w:eastAsia="Times New Roman"/>
                <w:sz w:val="20"/>
              </w:rPr>
              <w:t>Toàn bộ</w:t>
            </w:r>
          </w:p>
        </w:tc>
        <w:tc>
          <w:tcPr>
            <w:tcW w:type="dxa" w:w="1045"/>
            <w:vAlign w:val="center"/>
          </w:tcPr>
          <w:p>
            <w:pPr>
              <w:jc w:val="center"/>
            </w:pPr>
            <w:r/>
            <w:r>
              <w:rPr>
                <w:rFonts w:ascii="Times New Roman" w:hAnsi="Times New Roman" w:eastAsia="Times New Roman"/>
                <w:sz w:val="20"/>
              </w:rPr>
              <w:t>316</w:t>
            </w:r>
          </w:p>
        </w:tc>
        <w:tc>
          <w:tcPr>
            <w:tcW w:type="dxa" w:w="1045"/>
            <w:vAlign w:val="center"/>
          </w:tcPr>
          <w:p>
            <w:pPr>
              <w:jc w:val="center"/>
            </w:pPr>
            <w:r/>
            <w:r>
              <w:rPr>
                <w:rFonts w:ascii="Times New Roman" w:hAnsi="Times New Roman" w:eastAsia="Times New Roman"/>
                <w:sz w:val="20"/>
              </w:rPr>
              <w:t>3,360</w:t>
            </w:r>
          </w:p>
        </w:tc>
        <w:tc>
          <w:tcPr>
            <w:tcW w:type="dxa" w:w="1045"/>
            <w:vAlign w:val="center"/>
          </w:tcPr>
          <w:p>
            <w:pPr>
              <w:jc w:val="center"/>
            </w:pPr>
            <w:r/>
            <w:r>
              <w:rPr>
                <w:rFonts w:ascii="Times New Roman" w:hAnsi="Times New Roman" w:eastAsia="Times New Roman"/>
                <w:sz w:val="20"/>
              </w:rPr>
              <w:t>0,291</w:t>
            </w:r>
          </w:p>
        </w:tc>
        <w:tc>
          <w:tcPr>
            <w:tcW w:type="dxa" w:w="1045"/>
            <w:vAlign w:val="center"/>
          </w:tcPr>
          <w:p>
            <w:pPr>
              <w:jc w:val="center"/>
            </w:pPr>
            <w:r/>
            <w:r>
              <w:rPr>
                <w:rFonts w:ascii="Times New Roman" w:hAnsi="Times New Roman" w:eastAsia="Times New Roman"/>
                <w:sz w:val="20"/>
              </w:rPr>
              <w:t>2,51</w:t>
            </w:r>
          </w:p>
        </w:tc>
        <w:tc>
          <w:tcPr>
            <w:tcW w:type="dxa" w:w="1045"/>
            <w:vAlign w:val="center"/>
          </w:tcPr>
          <w:p>
            <w:pPr>
              <w:jc w:val="center"/>
            </w:pPr>
            <w:r/>
            <w:r>
              <w:rPr>
                <w:rFonts w:ascii="Times New Roman" w:hAnsi="Times New Roman" w:eastAsia="Times New Roman"/>
                <w:sz w:val="20"/>
              </w:rPr>
              <w:t>3,23</w:t>
            </w:r>
          </w:p>
        </w:tc>
        <w:tc>
          <w:tcPr>
            <w:tcW w:type="dxa" w:w="1045"/>
            <w:vAlign w:val="center"/>
          </w:tcPr>
          <w:p>
            <w:pPr>
              <w:jc w:val="center"/>
            </w:pPr>
            <w:r/>
            <w:r>
              <w:rPr>
                <w:rFonts w:ascii="Times New Roman" w:hAnsi="Times New Roman" w:eastAsia="Times New Roman"/>
                <w:sz w:val="20"/>
              </w:rPr>
              <w:t>3,40</w:t>
            </w:r>
          </w:p>
        </w:tc>
        <w:tc>
          <w:tcPr>
            <w:tcW w:type="dxa" w:w="1045"/>
            <w:vAlign w:val="center"/>
          </w:tcPr>
          <w:p>
            <w:pPr>
              <w:jc w:val="center"/>
            </w:pPr>
            <w:r/>
            <w:r>
              <w:rPr>
                <w:rFonts w:ascii="Times New Roman" w:hAnsi="Times New Roman" w:eastAsia="Times New Roman"/>
                <w:sz w:val="20"/>
              </w:rPr>
              <w:t>3,57</w:t>
            </w:r>
          </w:p>
        </w:tc>
        <w:tc>
          <w:tcPr>
            <w:tcW w:type="dxa" w:w="1045"/>
            <w:vAlign w:val="center"/>
          </w:tcPr>
          <w:p>
            <w:pPr>
              <w:jc w:val="center"/>
            </w:pPr>
            <w:r/>
            <w:r>
              <w:rPr>
                <w:rFonts w:ascii="Times New Roman" w:hAnsi="Times New Roman" w:eastAsia="Times New Roman"/>
                <w:sz w:val="20"/>
              </w:rPr>
              <w:t>3,88</w:t>
            </w:r>
          </w:p>
        </w:tc>
      </w:tr>
      <w:tr>
        <w:tc>
          <w:tcPr>
            <w:tcW w:type="dxa" w:w="1045"/>
            <w:vAlign w:val="center"/>
          </w:tcPr>
          <w:p>
            <w:pPr>
              <w:jc w:val="left"/>
            </w:pPr>
            <w:r/>
            <w:r>
              <w:rPr>
                <w:rFonts w:ascii="Times New Roman" w:hAnsi="Times New Roman" w:eastAsia="Times New Roman"/>
                <w:sz w:val="20"/>
              </w:rPr>
              <w:t>Nữ</w:t>
            </w:r>
          </w:p>
        </w:tc>
        <w:tc>
          <w:tcPr>
            <w:tcW w:type="dxa" w:w="1045"/>
            <w:vAlign w:val="center"/>
          </w:tcPr>
          <w:p>
            <w:pPr>
              <w:jc w:val="center"/>
            </w:pPr>
            <w:r/>
            <w:r>
              <w:rPr>
                <w:rFonts w:ascii="Times New Roman" w:hAnsi="Times New Roman" w:eastAsia="Times New Roman"/>
                <w:sz w:val="20"/>
              </w:rPr>
              <w:t>214</w:t>
            </w:r>
          </w:p>
        </w:tc>
        <w:tc>
          <w:tcPr>
            <w:tcW w:type="dxa" w:w="1045"/>
            <w:vAlign w:val="center"/>
          </w:tcPr>
          <w:p>
            <w:pPr>
              <w:jc w:val="center"/>
            </w:pPr>
            <w:r/>
            <w:r>
              <w:rPr>
                <w:rFonts w:ascii="Times New Roman" w:hAnsi="Times New Roman" w:eastAsia="Times New Roman"/>
                <w:sz w:val="20"/>
              </w:rPr>
              <w:t>3,425</w:t>
            </w:r>
          </w:p>
        </w:tc>
        <w:tc>
          <w:tcPr>
            <w:tcW w:type="dxa" w:w="1045"/>
            <w:vAlign w:val="center"/>
          </w:tcPr>
          <w:p>
            <w:pPr>
              <w:jc w:val="center"/>
            </w:pPr>
            <w:r/>
            <w:r>
              <w:rPr>
                <w:rFonts w:ascii="Times New Roman" w:hAnsi="Times New Roman" w:eastAsia="Times New Roman"/>
                <w:sz w:val="20"/>
              </w:rPr>
              <w:t>0,258</w:t>
            </w:r>
          </w:p>
        </w:tc>
        <w:tc>
          <w:tcPr>
            <w:tcW w:type="dxa" w:w="1045"/>
            <w:vAlign w:val="center"/>
          </w:tcPr>
          <w:p>
            <w:pPr>
              <w:jc w:val="center"/>
            </w:pPr>
            <w:r/>
            <w:r>
              <w:rPr>
                <w:rFonts w:ascii="Times New Roman" w:hAnsi="Times New Roman" w:eastAsia="Times New Roman"/>
                <w:sz w:val="20"/>
              </w:rPr>
              <w:t>2,52</w:t>
            </w:r>
          </w:p>
        </w:tc>
        <w:tc>
          <w:tcPr>
            <w:tcW w:type="dxa" w:w="1045"/>
            <w:vAlign w:val="center"/>
          </w:tcPr>
          <w:p>
            <w:pPr>
              <w:jc w:val="center"/>
            </w:pPr>
            <w:r/>
            <w:r>
              <w:rPr>
                <w:rFonts w:ascii="Times New Roman" w:hAnsi="Times New Roman" w:eastAsia="Times New Roman"/>
                <w:sz w:val="20"/>
              </w:rPr>
              <w:t>3,27</w:t>
            </w:r>
          </w:p>
        </w:tc>
        <w:tc>
          <w:tcPr>
            <w:tcW w:type="dxa" w:w="1045"/>
            <w:vAlign w:val="center"/>
          </w:tcPr>
          <w:p>
            <w:pPr>
              <w:jc w:val="center"/>
            </w:pPr>
            <w:r/>
            <w:r>
              <w:rPr>
                <w:rFonts w:ascii="Times New Roman" w:hAnsi="Times New Roman" w:eastAsia="Times New Roman"/>
                <w:sz w:val="20"/>
              </w:rPr>
              <w:t>3,45</w:t>
            </w:r>
          </w:p>
        </w:tc>
        <w:tc>
          <w:tcPr>
            <w:tcW w:type="dxa" w:w="1045"/>
            <w:vAlign w:val="center"/>
          </w:tcPr>
          <w:p>
            <w:pPr>
              <w:jc w:val="center"/>
            </w:pPr>
            <w:r/>
            <w:r>
              <w:rPr>
                <w:rFonts w:ascii="Times New Roman" w:hAnsi="Times New Roman" w:eastAsia="Times New Roman"/>
                <w:sz w:val="20"/>
              </w:rPr>
              <w:t>3,61</w:t>
            </w:r>
          </w:p>
        </w:tc>
        <w:tc>
          <w:tcPr>
            <w:tcW w:type="dxa" w:w="1045"/>
            <w:vAlign w:val="center"/>
          </w:tcPr>
          <w:p>
            <w:pPr>
              <w:jc w:val="center"/>
            </w:pPr>
            <w:r/>
            <w:r>
              <w:rPr>
                <w:rFonts w:ascii="Times New Roman" w:hAnsi="Times New Roman" w:eastAsia="Times New Roman"/>
                <w:sz w:val="20"/>
              </w:rPr>
              <w:t>3,85</w:t>
            </w:r>
          </w:p>
        </w:tc>
      </w:tr>
      <w:tr>
        <w:tc>
          <w:tcPr>
            <w:tcW w:type="dxa" w:w="1045"/>
            <w:vAlign w:val="center"/>
          </w:tcPr>
          <w:p>
            <w:pPr>
              <w:jc w:val="left"/>
            </w:pPr>
            <w:r/>
            <w:r>
              <w:rPr>
                <w:rFonts w:ascii="Times New Roman" w:hAnsi="Times New Roman" w:eastAsia="Times New Roman"/>
                <w:sz w:val="20"/>
              </w:rPr>
              <w:t>Nam</w:t>
            </w:r>
          </w:p>
        </w:tc>
        <w:tc>
          <w:tcPr>
            <w:tcW w:type="dxa" w:w="1045"/>
            <w:vAlign w:val="center"/>
          </w:tcPr>
          <w:p>
            <w:pPr>
              <w:jc w:val="center"/>
            </w:pPr>
            <w:r/>
            <w:r>
              <w:rPr>
                <w:rFonts w:ascii="Times New Roman" w:hAnsi="Times New Roman" w:eastAsia="Times New Roman"/>
                <w:sz w:val="20"/>
              </w:rPr>
              <w:t>102</w:t>
            </w:r>
          </w:p>
        </w:tc>
        <w:tc>
          <w:tcPr>
            <w:tcW w:type="dxa" w:w="1045"/>
            <w:vAlign w:val="center"/>
          </w:tcPr>
          <w:p>
            <w:pPr>
              <w:jc w:val="center"/>
            </w:pPr>
            <w:r/>
            <w:r>
              <w:rPr>
                <w:rFonts w:ascii="Times New Roman" w:hAnsi="Times New Roman" w:eastAsia="Times New Roman"/>
                <w:sz w:val="20"/>
              </w:rPr>
              <w:t>3,223</w:t>
            </w:r>
          </w:p>
        </w:tc>
        <w:tc>
          <w:tcPr>
            <w:tcW w:type="dxa" w:w="1045"/>
            <w:vAlign w:val="center"/>
          </w:tcPr>
          <w:p>
            <w:pPr>
              <w:jc w:val="center"/>
            </w:pPr>
            <w:r/>
            <w:r>
              <w:rPr>
                <w:rFonts w:ascii="Times New Roman" w:hAnsi="Times New Roman" w:eastAsia="Times New Roman"/>
                <w:sz w:val="20"/>
              </w:rPr>
              <w:t>0,310</w:t>
            </w:r>
          </w:p>
        </w:tc>
        <w:tc>
          <w:tcPr>
            <w:tcW w:type="dxa" w:w="1045"/>
            <w:vAlign w:val="center"/>
          </w:tcPr>
          <w:p>
            <w:pPr>
              <w:jc w:val="center"/>
            </w:pPr>
            <w:r/>
            <w:r>
              <w:rPr>
                <w:rFonts w:ascii="Times New Roman" w:hAnsi="Times New Roman" w:eastAsia="Times New Roman"/>
                <w:sz w:val="20"/>
              </w:rPr>
              <w:t>2,51</w:t>
            </w:r>
          </w:p>
        </w:tc>
        <w:tc>
          <w:tcPr>
            <w:tcW w:type="dxa" w:w="1045"/>
            <w:vAlign w:val="center"/>
          </w:tcPr>
          <w:p>
            <w:pPr>
              <w:jc w:val="center"/>
            </w:pPr>
            <w:r/>
            <w:r>
              <w:rPr>
                <w:rFonts w:ascii="Times New Roman" w:hAnsi="Times New Roman" w:eastAsia="Times New Roman"/>
                <w:sz w:val="20"/>
              </w:rPr>
              <w:t>2,98</w:t>
            </w:r>
          </w:p>
        </w:tc>
        <w:tc>
          <w:tcPr>
            <w:tcW w:type="dxa" w:w="1045"/>
            <w:vAlign w:val="center"/>
          </w:tcPr>
          <w:p>
            <w:pPr>
              <w:jc w:val="center"/>
            </w:pPr>
            <w:r/>
            <w:r>
              <w:rPr>
                <w:rFonts w:ascii="Times New Roman" w:hAnsi="Times New Roman" w:eastAsia="Times New Roman"/>
                <w:sz w:val="20"/>
              </w:rPr>
              <w:t>3,30</w:t>
            </w:r>
          </w:p>
        </w:tc>
        <w:tc>
          <w:tcPr>
            <w:tcW w:type="dxa" w:w="1045"/>
            <w:vAlign w:val="center"/>
          </w:tcPr>
          <w:p>
            <w:pPr>
              <w:jc w:val="center"/>
            </w:pPr>
            <w:r/>
            <w:r>
              <w:rPr>
                <w:rFonts w:ascii="Times New Roman" w:hAnsi="Times New Roman" w:eastAsia="Times New Roman"/>
                <w:sz w:val="20"/>
              </w:rPr>
              <w:t>3,43</w:t>
            </w:r>
          </w:p>
        </w:tc>
        <w:tc>
          <w:tcPr>
            <w:tcW w:type="dxa" w:w="1045"/>
            <w:vAlign w:val="center"/>
          </w:tcPr>
          <w:p>
            <w:pPr>
              <w:jc w:val="center"/>
            </w:pPr>
            <w:r/>
            <w:r>
              <w:rPr>
                <w:rFonts w:ascii="Times New Roman" w:hAnsi="Times New Roman" w:eastAsia="Times New Roman"/>
                <w:sz w:val="20"/>
              </w:rPr>
              <w:t>3,88</w:t>
            </w:r>
          </w:p>
        </w:tc>
      </w:tr>
    </w:tbl>
    <w:p>
      <w:pPr>
        <w:spacing w:after="0"/>
      </w:pPr>
    </w:p>
    <w:p>
      <w:pPr>
        <w:keepNext w:val="0"/>
        <w:spacing w:after="160" w:line="276" w:lineRule="auto"/>
      </w:pPr>
      <w:r>
        <w:rPr>
          <w:rFonts w:ascii="Times New Roman" w:hAnsi="Times New Roman" w:eastAsia="Times New Roman"/>
          <w:b w:val="0"/>
          <w:i/>
          <w:sz w:val="21"/>
        </w:rPr>
        <w:t>Nguồn: Tính toán từ dữ liệu tốt nghiệp bằng Python.</w:t>
      </w:r>
    </w:p>
    <w:p>
      <w:pPr>
        <w:spacing w:before="40" w:after="60"/>
        <w:jc w:val="center"/>
      </w:pPr>
      <w:r>
        <w:drawing>
          <wp:inline xmlns:a="http://schemas.openxmlformats.org/drawingml/2006/main" xmlns:pic="http://schemas.openxmlformats.org/drawingml/2006/picture">
            <wp:extent cx="5580000" cy="3126230"/>
            <wp:docPr id="1" name="Picture 1"/>
            <wp:cNvGraphicFramePr>
              <a:graphicFrameLocks noChangeAspect="1"/>
            </wp:cNvGraphicFramePr>
            <a:graphic>
              <a:graphicData uri="http://schemas.openxmlformats.org/drawingml/2006/picture">
                <pic:pic>
                  <pic:nvPicPr>
                    <pic:cNvPr id="0" name="figure_1_gpa_hist.png"/>
                    <pic:cNvPicPr/>
                  </pic:nvPicPr>
                  <pic:blipFill>
                    <a:blip r:embed="rId9"/>
                    <a:stretch>
                      <a:fillRect/>
                    </a:stretch>
                  </pic:blipFill>
                  <pic:spPr>
                    <a:xfrm>
                      <a:off x="0" y="0"/>
                      <a:ext cx="5580000" cy="3126230"/>
                    </a:xfrm>
                    <a:prstGeom prst="rect"/>
                  </pic:spPr>
                </pic:pic>
              </a:graphicData>
            </a:graphic>
          </wp:inline>
        </w:drawing>
      </w:r>
    </w:p>
    <w:p>
      <w:pPr>
        <w:keepNext w:val="0"/>
        <w:spacing w:after="160" w:line="276" w:lineRule="auto"/>
        <w:jc w:val="center"/>
      </w:pPr>
      <w:r>
        <w:rPr>
          <w:rFonts w:ascii="Times New Roman" w:hAnsi="Times New Roman" w:eastAsia="Times New Roman"/>
          <w:b w:val="0"/>
          <w:i/>
          <w:sz w:val="21"/>
        </w:rPr>
        <w:t>Hình 1. Phân bố GPA bậc cử nhân theo giới tính. Nguồn: Tính toán và trực quan hóa bằng Python.</w:t>
      </w:r>
    </w:p>
    <w:p>
      <w:pPr>
        <w:keepNext w:val="0"/>
        <w:spacing w:after="120" w:line="276" w:lineRule="auto"/>
        <w:jc w:val="both"/>
      </w:pPr>
      <w:r>
        <w:rPr>
          <w:rFonts w:ascii="Times New Roman" w:hAnsi="Times New Roman" w:eastAsia="Times New Roman"/>
          <w:b w:val="0"/>
          <w:i w:val="0"/>
          <w:sz w:val="26"/>
        </w:rPr>
        <w:t>GPA trung bình toàn bộ nhóm cử nhân đạt 3,36/4,0, trong khi trung vị là 3,40. Biểu đồ cho thấy phân phối GPA tập trung chủ yếu quanh khoảng 3,2–3,7. GPA trung bình của nữ cao hơn nam khoảng 0,20 điểm. Kiểm định Welch cho thấy chênh lệch này có ý nghĩa thống kê rất mạnh (t = 5,72; p &lt; 0,001). Nhóm nam đồng thời có mức độ phân tán GPA lớn hơn nhóm nữ.</w:t>
      </w:r>
    </w:p>
    <w:p>
      <w:pPr>
        <w:keepNext/>
        <w:spacing w:after="80" w:line="276" w:lineRule="auto"/>
      </w:pPr>
      <w:r>
        <w:rPr>
          <w:rFonts w:ascii="Times New Roman" w:hAnsi="Times New Roman" w:eastAsia="Times New Roman"/>
          <w:b/>
          <w:i w:val="0"/>
          <w:sz w:val="24"/>
        </w:rPr>
        <w:t>Bảng 2. Phân bố xếp loại tốt nghiệp bậc cử nhân</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D9E2F3"/>
          </w:tcPr>
          <w:p>
            <w:pPr>
              <w:jc w:val="center"/>
            </w:pPr>
            <w:r/>
            <w:r>
              <w:rPr>
                <w:rFonts w:ascii="Times New Roman" w:hAnsi="Times New Roman" w:eastAsia="Times New Roman"/>
                <w:b/>
                <w:sz w:val="20"/>
              </w:rPr>
              <w:t>Xếp loại</w:t>
            </w:r>
          </w:p>
        </w:tc>
        <w:tc>
          <w:tcPr>
            <w:tcW w:type="dxa" w:w="1881"/>
            <w:vAlign w:val="center"/>
            <w:shd w:fill="D9E2F3"/>
          </w:tcPr>
          <w:p>
            <w:pPr>
              <w:jc w:val="center"/>
            </w:pPr>
            <w:r/>
            <w:r>
              <w:rPr>
                <w:rFonts w:ascii="Times New Roman" w:hAnsi="Times New Roman" w:eastAsia="Times New Roman"/>
                <w:b/>
                <w:sz w:val="20"/>
              </w:rPr>
              <w:t>Số lượng</w:t>
            </w:r>
          </w:p>
        </w:tc>
        <w:tc>
          <w:tcPr>
            <w:tcW w:type="dxa" w:w="1881"/>
            <w:vAlign w:val="center"/>
            <w:shd w:fill="D9E2F3"/>
          </w:tcPr>
          <w:p>
            <w:pPr>
              <w:jc w:val="center"/>
            </w:pPr>
            <w:r/>
            <w:r>
              <w:rPr>
                <w:rFonts w:ascii="Times New Roman" w:hAnsi="Times New Roman" w:eastAsia="Times New Roman"/>
                <w:b/>
                <w:sz w:val="20"/>
              </w:rPr>
              <w:t>Tỷ lệ (%)</w:t>
            </w:r>
          </w:p>
        </w:tc>
        <w:tc>
          <w:tcPr>
            <w:tcW w:type="dxa" w:w="1881"/>
            <w:vAlign w:val="center"/>
            <w:shd w:fill="D9E2F3"/>
          </w:tcPr>
          <w:p>
            <w:pPr>
              <w:jc w:val="center"/>
            </w:pPr>
            <w:r/>
            <w:r>
              <w:rPr>
                <w:rFonts w:ascii="Times New Roman" w:hAnsi="Times New Roman" w:eastAsia="Times New Roman"/>
                <w:b/>
                <w:sz w:val="20"/>
              </w:rPr>
              <w:t>GPA trung bình</w:t>
            </w:r>
          </w:p>
        </w:tc>
        <w:tc>
          <w:tcPr>
            <w:tcW w:type="dxa" w:w="1881"/>
            <w:vAlign w:val="center"/>
            <w:shd w:fill="D9E2F3"/>
          </w:tcPr>
          <w:p>
            <w:pPr>
              <w:jc w:val="center"/>
            </w:pPr>
            <w:r/>
            <w:r>
              <w:rPr>
                <w:rFonts w:ascii="Times New Roman" w:hAnsi="Times New Roman" w:eastAsia="Times New Roman"/>
                <w:b/>
                <w:sz w:val="20"/>
              </w:rPr>
              <w:t>GPA min–max</w:t>
            </w:r>
          </w:p>
        </w:tc>
      </w:tr>
      <w:tr>
        <w:tc>
          <w:tcPr>
            <w:tcW w:type="dxa" w:w="1881"/>
            <w:vAlign w:val="center"/>
          </w:tcPr>
          <w:p>
            <w:pPr>
              <w:jc w:val="left"/>
            </w:pPr>
            <w:r/>
            <w:r>
              <w:rPr>
                <w:rFonts w:ascii="Times New Roman" w:hAnsi="Times New Roman" w:eastAsia="Times New Roman"/>
                <w:sz w:val="20"/>
              </w:rPr>
              <w:t>Xuất sắc</w:t>
            </w:r>
          </w:p>
        </w:tc>
        <w:tc>
          <w:tcPr>
            <w:tcW w:type="dxa" w:w="1881"/>
            <w:vAlign w:val="center"/>
          </w:tcPr>
          <w:p>
            <w:pPr>
              <w:jc w:val="center"/>
            </w:pPr>
            <w:r/>
            <w:r>
              <w:rPr>
                <w:rFonts w:ascii="Times New Roman" w:hAnsi="Times New Roman" w:eastAsia="Times New Roman"/>
                <w:sz w:val="20"/>
              </w:rPr>
              <w:t>71</w:t>
            </w:r>
          </w:p>
        </w:tc>
        <w:tc>
          <w:tcPr>
            <w:tcW w:type="dxa" w:w="1881"/>
            <w:vAlign w:val="center"/>
          </w:tcPr>
          <w:p>
            <w:pPr>
              <w:jc w:val="center"/>
            </w:pPr>
            <w:r/>
            <w:r>
              <w:rPr>
                <w:rFonts w:ascii="Times New Roman" w:hAnsi="Times New Roman" w:eastAsia="Times New Roman"/>
                <w:sz w:val="20"/>
              </w:rPr>
              <w:t>22,5</w:t>
            </w:r>
          </w:p>
        </w:tc>
        <w:tc>
          <w:tcPr>
            <w:tcW w:type="dxa" w:w="1881"/>
            <w:vAlign w:val="center"/>
          </w:tcPr>
          <w:p>
            <w:pPr>
              <w:jc w:val="center"/>
            </w:pPr>
            <w:r/>
            <w:r>
              <w:rPr>
                <w:rFonts w:ascii="Times New Roman" w:hAnsi="Times New Roman" w:eastAsia="Times New Roman"/>
                <w:sz w:val="20"/>
              </w:rPr>
              <w:t>3,691</w:t>
            </w:r>
          </w:p>
        </w:tc>
        <w:tc>
          <w:tcPr>
            <w:tcW w:type="dxa" w:w="1881"/>
            <w:vAlign w:val="center"/>
          </w:tcPr>
          <w:p>
            <w:pPr>
              <w:jc w:val="center"/>
            </w:pPr>
            <w:r/>
            <w:r>
              <w:rPr>
                <w:rFonts w:ascii="Times New Roman" w:hAnsi="Times New Roman" w:eastAsia="Times New Roman"/>
                <w:sz w:val="20"/>
              </w:rPr>
              <w:t>2,89–3,88</w:t>
            </w:r>
          </w:p>
        </w:tc>
      </w:tr>
      <w:tr>
        <w:tc>
          <w:tcPr>
            <w:tcW w:type="dxa" w:w="1881"/>
            <w:vAlign w:val="center"/>
          </w:tcPr>
          <w:p>
            <w:pPr>
              <w:jc w:val="left"/>
            </w:pPr>
            <w:r/>
            <w:r>
              <w:rPr>
                <w:rFonts w:ascii="Times New Roman" w:hAnsi="Times New Roman" w:eastAsia="Times New Roman"/>
                <w:sz w:val="20"/>
              </w:rPr>
              <w:t>Giỏi</w:t>
            </w:r>
          </w:p>
        </w:tc>
        <w:tc>
          <w:tcPr>
            <w:tcW w:type="dxa" w:w="1881"/>
            <w:vAlign w:val="center"/>
          </w:tcPr>
          <w:p>
            <w:pPr>
              <w:jc w:val="center"/>
            </w:pPr>
            <w:r/>
            <w:r>
              <w:rPr>
                <w:rFonts w:ascii="Times New Roman" w:hAnsi="Times New Roman" w:eastAsia="Times New Roman"/>
                <w:sz w:val="20"/>
              </w:rPr>
              <w:t>178</w:t>
            </w:r>
          </w:p>
        </w:tc>
        <w:tc>
          <w:tcPr>
            <w:tcW w:type="dxa" w:w="1881"/>
            <w:vAlign w:val="center"/>
          </w:tcPr>
          <w:p>
            <w:pPr>
              <w:jc w:val="center"/>
            </w:pPr>
            <w:r/>
            <w:r>
              <w:rPr>
                <w:rFonts w:ascii="Times New Roman" w:hAnsi="Times New Roman" w:eastAsia="Times New Roman"/>
                <w:sz w:val="20"/>
              </w:rPr>
              <w:t>56,3</w:t>
            </w:r>
          </w:p>
        </w:tc>
        <w:tc>
          <w:tcPr>
            <w:tcW w:type="dxa" w:w="1881"/>
            <w:vAlign w:val="center"/>
          </w:tcPr>
          <w:p>
            <w:pPr>
              <w:jc w:val="center"/>
            </w:pPr>
            <w:r/>
            <w:r>
              <w:rPr>
                <w:rFonts w:ascii="Times New Roman" w:hAnsi="Times New Roman" w:eastAsia="Times New Roman"/>
                <w:sz w:val="20"/>
              </w:rPr>
              <w:t>3,393</w:t>
            </w:r>
          </w:p>
        </w:tc>
        <w:tc>
          <w:tcPr>
            <w:tcW w:type="dxa" w:w="1881"/>
            <w:vAlign w:val="center"/>
          </w:tcPr>
          <w:p>
            <w:pPr>
              <w:jc w:val="center"/>
            </w:pPr>
            <w:r/>
            <w:r>
              <w:rPr>
                <w:rFonts w:ascii="Times New Roman" w:hAnsi="Times New Roman" w:eastAsia="Times New Roman"/>
                <w:sz w:val="20"/>
              </w:rPr>
              <w:t>3,20–3,59</w:t>
            </w:r>
          </w:p>
        </w:tc>
      </w:tr>
      <w:tr>
        <w:tc>
          <w:tcPr>
            <w:tcW w:type="dxa" w:w="1881"/>
            <w:vAlign w:val="center"/>
          </w:tcPr>
          <w:p>
            <w:pPr>
              <w:jc w:val="left"/>
            </w:pPr>
            <w:r/>
            <w:r>
              <w:rPr>
                <w:rFonts w:ascii="Times New Roman" w:hAnsi="Times New Roman" w:eastAsia="Times New Roman"/>
                <w:sz w:val="20"/>
              </w:rPr>
              <w:t>Khá</w:t>
            </w:r>
          </w:p>
        </w:tc>
        <w:tc>
          <w:tcPr>
            <w:tcW w:type="dxa" w:w="1881"/>
            <w:vAlign w:val="center"/>
          </w:tcPr>
          <w:p>
            <w:pPr>
              <w:jc w:val="center"/>
            </w:pPr>
            <w:r/>
            <w:r>
              <w:rPr>
                <w:rFonts w:ascii="Times New Roman" w:hAnsi="Times New Roman" w:eastAsia="Times New Roman"/>
                <w:sz w:val="20"/>
              </w:rPr>
              <w:t>67</w:t>
            </w:r>
          </w:p>
        </w:tc>
        <w:tc>
          <w:tcPr>
            <w:tcW w:type="dxa" w:w="1881"/>
            <w:vAlign w:val="center"/>
          </w:tcPr>
          <w:p>
            <w:pPr>
              <w:jc w:val="center"/>
            </w:pPr>
            <w:r/>
            <w:r>
              <w:rPr>
                <w:rFonts w:ascii="Times New Roman" w:hAnsi="Times New Roman" w:eastAsia="Times New Roman"/>
                <w:sz w:val="20"/>
              </w:rPr>
              <w:t>21,2</w:t>
            </w:r>
          </w:p>
        </w:tc>
        <w:tc>
          <w:tcPr>
            <w:tcW w:type="dxa" w:w="1881"/>
            <w:vAlign w:val="center"/>
          </w:tcPr>
          <w:p>
            <w:pPr>
              <w:jc w:val="center"/>
            </w:pPr>
            <w:r/>
            <w:r>
              <w:rPr>
                <w:rFonts w:ascii="Times New Roman" w:hAnsi="Times New Roman" w:eastAsia="Times New Roman"/>
                <w:sz w:val="20"/>
              </w:rPr>
              <w:t>2,922</w:t>
            </w:r>
          </w:p>
        </w:tc>
        <w:tc>
          <w:tcPr>
            <w:tcW w:type="dxa" w:w="1881"/>
            <w:vAlign w:val="center"/>
          </w:tcPr>
          <w:p>
            <w:pPr>
              <w:jc w:val="center"/>
            </w:pPr>
            <w:r/>
            <w:r>
              <w:rPr>
                <w:rFonts w:ascii="Times New Roman" w:hAnsi="Times New Roman" w:eastAsia="Times New Roman"/>
                <w:sz w:val="20"/>
              </w:rPr>
              <w:t>2,51–3,58</w:t>
            </w:r>
          </w:p>
        </w:tc>
      </w:tr>
      <w:tr>
        <w:tc>
          <w:tcPr>
            <w:tcW w:type="dxa" w:w="1881"/>
            <w:vAlign w:val="center"/>
          </w:tcPr>
          <w:p>
            <w:pPr>
              <w:jc w:val="left"/>
            </w:pPr>
            <w:r/>
            <w:r>
              <w:rPr>
                <w:rFonts w:ascii="Times New Roman" w:hAnsi="Times New Roman" w:eastAsia="Times New Roman"/>
                <w:sz w:val="20"/>
              </w:rPr>
              <w:t>Tổng</w:t>
            </w:r>
          </w:p>
        </w:tc>
        <w:tc>
          <w:tcPr>
            <w:tcW w:type="dxa" w:w="1881"/>
            <w:vAlign w:val="center"/>
          </w:tcPr>
          <w:p>
            <w:pPr>
              <w:jc w:val="center"/>
            </w:pPr>
            <w:r/>
            <w:r>
              <w:rPr>
                <w:rFonts w:ascii="Times New Roman" w:hAnsi="Times New Roman" w:eastAsia="Times New Roman"/>
                <w:sz w:val="20"/>
              </w:rPr>
              <w:t>316</w:t>
            </w:r>
          </w:p>
        </w:tc>
        <w:tc>
          <w:tcPr>
            <w:tcW w:type="dxa" w:w="1881"/>
            <w:vAlign w:val="center"/>
          </w:tcPr>
          <w:p>
            <w:pPr>
              <w:jc w:val="center"/>
            </w:pPr>
            <w:r/>
            <w:r>
              <w:rPr>
                <w:rFonts w:ascii="Times New Roman" w:hAnsi="Times New Roman" w:eastAsia="Times New Roman"/>
                <w:sz w:val="20"/>
              </w:rPr>
              <w:t>100,0</w:t>
            </w:r>
          </w:p>
        </w:tc>
        <w:tc>
          <w:tcPr>
            <w:tcW w:type="dxa" w:w="1881"/>
            <w:vAlign w:val="center"/>
          </w:tcPr>
          <w:p>
            <w:pPr>
              <w:jc w:val="center"/>
            </w:pPr>
            <w:r/>
            <w:r>
              <w:rPr>
                <w:rFonts w:ascii="Times New Roman" w:hAnsi="Times New Roman" w:eastAsia="Times New Roman"/>
                <w:sz w:val="20"/>
              </w:rPr>
              <w:t>3,360</w:t>
            </w:r>
          </w:p>
        </w:tc>
        <w:tc>
          <w:tcPr>
            <w:tcW w:type="dxa" w:w="1881"/>
            <w:vAlign w:val="center"/>
          </w:tcPr>
          <w:p>
            <w:pPr>
              <w:jc w:val="center"/>
            </w:pPr>
            <w:r/>
            <w:r>
              <w:rPr>
                <w:rFonts w:ascii="Times New Roman" w:hAnsi="Times New Roman" w:eastAsia="Times New Roman"/>
                <w:sz w:val="20"/>
              </w:rPr>
              <w:t>2,51–3,88</w:t>
            </w:r>
          </w:p>
        </w:tc>
      </w:tr>
    </w:tbl>
    <w:p>
      <w:pPr>
        <w:spacing w:after="0"/>
      </w:pPr>
    </w:p>
    <w:p>
      <w:pPr>
        <w:keepNext w:val="0"/>
        <w:spacing w:after="160" w:line="276" w:lineRule="auto"/>
      </w:pPr>
      <w:r>
        <w:rPr>
          <w:rFonts w:ascii="Times New Roman" w:hAnsi="Times New Roman" w:eastAsia="Times New Roman"/>
          <w:b w:val="0"/>
          <w:i/>
          <w:sz w:val="21"/>
        </w:rPr>
        <w:t>Nguồn: Tính toán từ dữ liệu tốt nghiệp bằng Python.</w:t>
      </w:r>
    </w:p>
    <w:p>
      <w:pPr>
        <w:spacing w:before="40" w:after="60"/>
        <w:jc w:val="center"/>
      </w:pPr>
      <w:r>
        <w:drawing>
          <wp:inline xmlns:a="http://schemas.openxmlformats.org/drawingml/2006/main" xmlns:pic="http://schemas.openxmlformats.org/drawingml/2006/picture">
            <wp:extent cx="5580000" cy="3237309"/>
            <wp:docPr id="2" name="Picture 2"/>
            <wp:cNvGraphicFramePr>
              <a:graphicFrameLocks noChangeAspect="1"/>
            </wp:cNvGraphicFramePr>
            <a:graphic>
              <a:graphicData uri="http://schemas.openxmlformats.org/drawingml/2006/picture">
                <pic:pic>
                  <pic:nvPicPr>
                    <pic:cNvPr id="0" name="figure_2_classification.png"/>
                    <pic:cNvPicPr/>
                  </pic:nvPicPr>
                  <pic:blipFill>
                    <a:blip r:embed="rId10"/>
                    <a:stretch>
                      <a:fillRect/>
                    </a:stretch>
                  </pic:blipFill>
                  <pic:spPr>
                    <a:xfrm>
                      <a:off x="0" y="0"/>
                      <a:ext cx="5580000" cy="3237309"/>
                    </a:xfrm>
                    <a:prstGeom prst="rect"/>
                  </pic:spPr>
                </pic:pic>
              </a:graphicData>
            </a:graphic>
          </wp:inline>
        </w:drawing>
      </w:r>
    </w:p>
    <w:p>
      <w:pPr>
        <w:keepNext w:val="0"/>
        <w:spacing w:after="160" w:line="276" w:lineRule="auto"/>
        <w:jc w:val="center"/>
      </w:pPr>
      <w:r>
        <w:rPr>
          <w:rFonts w:ascii="Times New Roman" w:hAnsi="Times New Roman" w:eastAsia="Times New Roman"/>
          <w:b w:val="0"/>
          <w:i/>
          <w:sz w:val="21"/>
        </w:rPr>
        <w:t>Hình 2. Phân bố xếp loại tốt nghiệp bậc cử nhân. Nguồn: Tính toán và trực quan hóa bằng Python.</w:t>
      </w:r>
    </w:p>
    <w:p>
      <w:pPr>
        <w:keepNext w:val="0"/>
        <w:spacing w:after="120" w:line="276" w:lineRule="auto"/>
        <w:jc w:val="both"/>
      </w:pPr>
      <w:r>
        <w:rPr>
          <w:rFonts w:ascii="Times New Roman" w:hAnsi="Times New Roman" w:eastAsia="Times New Roman"/>
          <w:b w:val="0"/>
          <w:i w:val="0"/>
          <w:sz w:val="26"/>
        </w:rPr>
        <w:t>Có 78,8% sinh viên đạt loại Giỏi trở lên; trong đó nhóm Giỏi chiếm tỷ trọng lớn nhất với 56,3%. Tuy nhiên, khoảng GPA giữa các nhóm xếp loại có sự chồng lấn. Hiện tượng này có thể phản ánh các tiêu chí xếp loại ngoài GPA hoặc sai lệch nhập liệu; vì vậy, dữ liệu gốc cần được đối chiếu với quy định xếp loại và hồ sơ quyết định tốt nghiệp.</w:t>
      </w:r>
    </w:p>
    <w:p>
      <w:pPr>
        <w:keepNext/>
        <w:spacing w:after="80" w:line="276" w:lineRule="auto"/>
      </w:pPr>
      <w:r>
        <w:rPr>
          <w:rFonts w:ascii="Times New Roman" w:hAnsi="Times New Roman" w:eastAsia="Times New Roman"/>
          <w:b/>
          <w:i w:val="0"/>
          <w:sz w:val="24"/>
        </w:rPr>
        <w:t>Bảng 3. Số lượng tốt nghiệp theo đợt xét và bậc đào tạo</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1567"/>
            <w:vAlign w:val="center"/>
            <w:shd w:fill="D9E2F3"/>
          </w:tcPr>
          <w:p>
            <w:pPr>
              <w:jc w:val="center"/>
            </w:pPr>
            <w:r/>
            <w:r>
              <w:rPr>
                <w:rFonts w:ascii="Times New Roman" w:hAnsi="Times New Roman" w:eastAsia="Times New Roman"/>
                <w:b/>
                <w:sz w:val="20"/>
              </w:rPr>
              <w:t>Đợt xét</w:t>
            </w:r>
          </w:p>
        </w:tc>
        <w:tc>
          <w:tcPr>
            <w:tcW w:type="dxa" w:w="1567"/>
            <w:vAlign w:val="center"/>
            <w:shd w:fill="D9E2F3"/>
          </w:tcPr>
          <w:p>
            <w:pPr>
              <w:jc w:val="center"/>
            </w:pPr>
            <w:r/>
            <w:r>
              <w:rPr>
                <w:rFonts w:ascii="Times New Roman" w:hAnsi="Times New Roman" w:eastAsia="Times New Roman"/>
                <w:b/>
                <w:sz w:val="20"/>
              </w:rPr>
              <w:t>Cử nhân</w:t>
            </w:r>
          </w:p>
        </w:tc>
        <w:tc>
          <w:tcPr>
            <w:tcW w:type="dxa" w:w="1567"/>
            <w:vAlign w:val="center"/>
            <w:shd w:fill="D9E2F3"/>
          </w:tcPr>
          <w:p>
            <w:pPr>
              <w:jc w:val="center"/>
            </w:pPr>
            <w:r/>
            <w:r>
              <w:rPr>
                <w:rFonts w:ascii="Times New Roman" w:hAnsi="Times New Roman" w:eastAsia="Times New Roman"/>
                <w:b/>
                <w:sz w:val="20"/>
              </w:rPr>
              <w:t>Thạc sĩ</w:t>
            </w:r>
          </w:p>
        </w:tc>
        <w:tc>
          <w:tcPr>
            <w:tcW w:type="dxa" w:w="1567"/>
            <w:vAlign w:val="center"/>
            <w:shd w:fill="D9E2F3"/>
          </w:tcPr>
          <w:p>
            <w:pPr>
              <w:jc w:val="center"/>
            </w:pPr>
            <w:r/>
            <w:r>
              <w:rPr>
                <w:rFonts w:ascii="Times New Roman" w:hAnsi="Times New Roman" w:eastAsia="Times New Roman"/>
                <w:b/>
                <w:sz w:val="20"/>
              </w:rPr>
              <w:t>Tiến sĩ</w:t>
            </w:r>
          </w:p>
        </w:tc>
        <w:tc>
          <w:tcPr>
            <w:tcW w:type="dxa" w:w="1567"/>
            <w:vAlign w:val="center"/>
            <w:shd w:fill="D9E2F3"/>
          </w:tcPr>
          <w:p>
            <w:pPr>
              <w:jc w:val="center"/>
            </w:pPr>
            <w:r/>
            <w:r>
              <w:rPr>
                <w:rFonts w:ascii="Times New Roman" w:hAnsi="Times New Roman" w:eastAsia="Times New Roman"/>
                <w:b/>
                <w:sz w:val="20"/>
              </w:rPr>
              <w:t>Tổng</w:t>
            </w:r>
          </w:p>
        </w:tc>
        <w:tc>
          <w:tcPr>
            <w:tcW w:type="dxa" w:w="1567"/>
            <w:vAlign w:val="center"/>
            <w:shd w:fill="D9E2F3"/>
          </w:tcPr>
          <w:p>
            <w:pPr>
              <w:jc w:val="center"/>
            </w:pPr>
            <w:r/>
            <w:r>
              <w:rPr>
                <w:rFonts w:ascii="Times New Roman" w:hAnsi="Times New Roman" w:eastAsia="Times New Roman"/>
                <w:b/>
                <w:sz w:val="20"/>
              </w:rPr>
              <w:t>Tỷ trọng (%)</w:t>
            </w:r>
          </w:p>
        </w:tc>
      </w:tr>
      <w:tr>
        <w:tc>
          <w:tcPr>
            <w:tcW w:type="dxa" w:w="1567"/>
            <w:vAlign w:val="center"/>
          </w:tcPr>
          <w:p>
            <w:pPr>
              <w:jc w:val="left"/>
            </w:pPr>
            <w:r/>
            <w:r>
              <w:rPr>
                <w:rFonts w:ascii="Times New Roman" w:hAnsi="Times New Roman" w:eastAsia="Times New Roman"/>
                <w:sz w:val="20"/>
              </w:rPr>
              <w:t>9/2025</w:t>
            </w:r>
          </w:p>
        </w:tc>
        <w:tc>
          <w:tcPr>
            <w:tcW w:type="dxa" w:w="1567"/>
            <w:vAlign w:val="center"/>
          </w:tcPr>
          <w:p>
            <w:pPr>
              <w:jc w:val="center"/>
            </w:pPr>
            <w:r/>
            <w:r>
              <w:rPr>
                <w:rFonts w:ascii="Times New Roman" w:hAnsi="Times New Roman" w:eastAsia="Times New Roman"/>
                <w:sz w:val="20"/>
              </w:rPr>
              <w:t>22</w:t>
            </w:r>
          </w:p>
        </w:tc>
        <w:tc>
          <w:tcPr>
            <w:tcW w:type="dxa" w:w="1567"/>
            <w:vAlign w:val="center"/>
          </w:tcPr>
          <w:p>
            <w:pPr>
              <w:jc w:val="center"/>
            </w:pPr>
            <w:r/>
            <w:r>
              <w:rPr>
                <w:rFonts w:ascii="Times New Roman" w:hAnsi="Times New Roman" w:eastAsia="Times New Roman"/>
                <w:sz w:val="20"/>
              </w:rPr>
              <w:t>4</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26</w:t>
            </w:r>
          </w:p>
        </w:tc>
        <w:tc>
          <w:tcPr>
            <w:tcW w:type="dxa" w:w="1567"/>
            <w:vAlign w:val="center"/>
          </w:tcPr>
          <w:p>
            <w:pPr>
              <w:jc w:val="center"/>
            </w:pPr>
            <w:r/>
            <w:r>
              <w:rPr>
                <w:rFonts w:ascii="Times New Roman" w:hAnsi="Times New Roman" w:eastAsia="Times New Roman"/>
                <w:sz w:val="20"/>
              </w:rPr>
              <w:t>7,4</w:t>
            </w:r>
          </w:p>
        </w:tc>
      </w:tr>
      <w:tr>
        <w:tc>
          <w:tcPr>
            <w:tcW w:type="dxa" w:w="1567"/>
            <w:vAlign w:val="center"/>
          </w:tcPr>
          <w:p>
            <w:pPr>
              <w:jc w:val="left"/>
            </w:pPr>
            <w:r/>
            <w:r>
              <w:rPr>
                <w:rFonts w:ascii="Times New Roman" w:hAnsi="Times New Roman" w:eastAsia="Times New Roman"/>
                <w:sz w:val="20"/>
              </w:rPr>
              <w:t>10–11/2025</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6</w:t>
            </w:r>
          </w:p>
        </w:tc>
        <w:tc>
          <w:tcPr>
            <w:tcW w:type="dxa" w:w="1567"/>
            <w:vAlign w:val="center"/>
          </w:tcPr>
          <w:p>
            <w:pPr>
              <w:jc w:val="center"/>
            </w:pPr>
            <w:r/>
            <w:r>
              <w:rPr>
                <w:rFonts w:ascii="Times New Roman" w:hAnsi="Times New Roman" w:eastAsia="Times New Roman"/>
                <w:sz w:val="20"/>
              </w:rPr>
              <w:t>6</w:t>
            </w:r>
          </w:p>
        </w:tc>
        <w:tc>
          <w:tcPr>
            <w:tcW w:type="dxa" w:w="1567"/>
            <w:vAlign w:val="center"/>
          </w:tcPr>
          <w:p>
            <w:pPr>
              <w:jc w:val="center"/>
            </w:pPr>
            <w:r/>
            <w:r>
              <w:rPr>
                <w:rFonts w:ascii="Times New Roman" w:hAnsi="Times New Roman" w:eastAsia="Times New Roman"/>
                <w:sz w:val="20"/>
              </w:rPr>
              <w:t>1,7</w:t>
            </w:r>
          </w:p>
        </w:tc>
      </w:tr>
      <w:tr>
        <w:tc>
          <w:tcPr>
            <w:tcW w:type="dxa" w:w="1567"/>
            <w:vAlign w:val="center"/>
          </w:tcPr>
          <w:p>
            <w:pPr>
              <w:jc w:val="left"/>
            </w:pPr>
            <w:r/>
            <w:r>
              <w:rPr>
                <w:rFonts w:ascii="Times New Roman" w:hAnsi="Times New Roman" w:eastAsia="Times New Roman"/>
                <w:sz w:val="20"/>
              </w:rPr>
              <w:t>12/2025</w:t>
            </w:r>
          </w:p>
        </w:tc>
        <w:tc>
          <w:tcPr>
            <w:tcW w:type="dxa" w:w="1567"/>
            <w:vAlign w:val="center"/>
          </w:tcPr>
          <w:p>
            <w:pPr>
              <w:jc w:val="center"/>
            </w:pPr>
            <w:r/>
            <w:r>
              <w:rPr>
                <w:rFonts w:ascii="Times New Roman" w:hAnsi="Times New Roman" w:eastAsia="Times New Roman"/>
                <w:sz w:val="20"/>
              </w:rPr>
              <w:t>58</w:t>
            </w:r>
          </w:p>
        </w:tc>
        <w:tc>
          <w:tcPr>
            <w:tcW w:type="dxa" w:w="1567"/>
            <w:vAlign w:val="center"/>
          </w:tcPr>
          <w:p>
            <w:pPr>
              <w:jc w:val="center"/>
            </w:pPr>
            <w:r/>
            <w:r>
              <w:rPr>
                <w:rFonts w:ascii="Times New Roman" w:hAnsi="Times New Roman" w:eastAsia="Times New Roman"/>
                <w:sz w:val="20"/>
              </w:rPr>
              <w:t>3</w:t>
            </w:r>
          </w:p>
        </w:tc>
        <w:tc>
          <w:tcPr>
            <w:tcW w:type="dxa" w:w="1567"/>
            <w:vAlign w:val="center"/>
          </w:tcPr>
          <w:p>
            <w:pPr>
              <w:jc w:val="center"/>
            </w:pPr>
            <w:r/>
            <w:r>
              <w:rPr>
                <w:rFonts w:ascii="Times New Roman" w:hAnsi="Times New Roman" w:eastAsia="Times New Roman"/>
                <w:sz w:val="20"/>
              </w:rPr>
              <w:t>6</w:t>
            </w:r>
          </w:p>
        </w:tc>
        <w:tc>
          <w:tcPr>
            <w:tcW w:type="dxa" w:w="1567"/>
            <w:vAlign w:val="center"/>
          </w:tcPr>
          <w:p>
            <w:pPr>
              <w:jc w:val="center"/>
            </w:pPr>
            <w:r/>
            <w:r>
              <w:rPr>
                <w:rFonts w:ascii="Times New Roman" w:hAnsi="Times New Roman" w:eastAsia="Times New Roman"/>
                <w:sz w:val="20"/>
              </w:rPr>
              <w:t>67</w:t>
            </w:r>
          </w:p>
        </w:tc>
        <w:tc>
          <w:tcPr>
            <w:tcW w:type="dxa" w:w="1567"/>
            <w:vAlign w:val="center"/>
          </w:tcPr>
          <w:p>
            <w:pPr>
              <w:jc w:val="center"/>
            </w:pPr>
            <w:r/>
            <w:r>
              <w:rPr>
                <w:rFonts w:ascii="Times New Roman" w:hAnsi="Times New Roman" w:eastAsia="Times New Roman"/>
                <w:sz w:val="20"/>
              </w:rPr>
              <w:t>19,1</w:t>
            </w:r>
          </w:p>
        </w:tc>
      </w:tr>
      <w:tr>
        <w:tc>
          <w:tcPr>
            <w:tcW w:type="dxa" w:w="1567"/>
            <w:vAlign w:val="center"/>
          </w:tcPr>
          <w:p>
            <w:pPr>
              <w:jc w:val="left"/>
            </w:pPr>
            <w:r/>
            <w:r>
              <w:rPr>
                <w:rFonts w:ascii="Times New Roman" w:hAnsi="Times New Roman" w:eastAsia="Times New Roman"/>
                <w:sz w:val="20"/>
              </w:rPr>
              <w:t>1/2026</w:t>
            </w:r>
          </w:p>
        </w:tc>
        <w:tc>
          <w:tcPr>
            <w:tcW w:type="dxa" w:w="1567"/>
            <w:vAlign w:val="center"/>
          </w:tcPr>
          <w:p>
            <w:pPr>
              <w:jc w:val="center"/>
            </w:pPr>
            <w:r/>
            <w:r>
              <w:rPr>
                <w:rFonts w:ascii="Times New Roman" w:hAnsi="Times New Roman" w:eastAsia="Times New Roman"/>
                <w:sz w:val="20"/>
              </w:rPr>
              <w:t>1</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1</w:t>
            </w:r>
          </w:p>
        </w:tc>
        <w:tc>
          <w:tcPr>
            <w:tcW w:type="dxa" w:w="1567"/>
            <w:vAlign w:val="center"/>
          </w:tcPr>
          <w:p>
            <w:pPr>
              <w:jc w:val="center"/>
            </w:pPr>
            <w:r/>
            <w:r>
              <w:rPr>
                <w:rFonts w:ascii="Times New Roman" w:hAnsi="Times New Roman" w:eastAsia="Times New Roman"/>
                <w:sz w:val="20"/>
              </w:rPr>
              <w:t>0,3</w:t>
            </w:r>
          </w:p>
        </w:tc>
      </w:tr>
      <w:tr>
        <w:tc>
          <w:tcPr>
            <w:tcW w:type="dxa" w:w="1567"/>
            <w:vAlign w:val="center"/>
          </w:tcPr>
          <w:p>
            <w:pPr>
              <w:jc w:val="left"/>
            </w:pPr>
            <w:r/>
            <w:r>
              <w:rPr>
                <w:rFonts w:ascii="Times New Roman" w:hAnsi="Times New Roman" w:eastAsia="Times New Roman"/>
                <w:sz w:val="20"/>
              </w:rPr>
              <w:t>3/2026</w:t>
            </w:r>
          </w:p>
        </w:tc>
        <w:tc>
          <w:tcPr>
            <w:tcW w:type="dxa" w:w="1567"/>
            <w:vAlign w:val="center"/>
          </w:tcPr>
          <w:p>
            <w:pPr>
              <w:jc w:val="center"/>
            </w:pPr>
            <w:r/>
            <w:r>
              <w:rPr>
                <w:rFonts w:ascii="Times New Roman" w:hAnsi="Times New Roman" w:eastAsia="Times New Roman"/>
                <w:sz w:val="20"/>
              </w:rPr>
              <w:t>107</w:t>
            </w:r>
          </w:p>
        </w:tc>
        <w:tc>
          <w:tcPr>
            <w:tcW w:type="dxa" w:w="1567"/>
            <w:vAlign w:val="center"/>
          </w:tcPr>
          <w:p>
            <w:pPr>
              <w:jc w:val="center"/>
            </w:pPr>
            <w:r/>
            <w:r>
              <w:rPr>
                <w:rFonts w:ascii="Times New Roman" w:hAnsi="Times New Roman" w:eastAsia="Times New Roman"/>
                <w:sz w:val="20"/>
              </w:rPr>
              <w:t>3</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110</w:t>
            </w:r>
          </w:p>
        </w:tc>
        <w:tc>
          <w:tcPr>
            <w:tcW w:type="dxa" w:w="1567"/>
            <w:vAlign w:val="center"/>
          </w:tcPr>
          <w:p>
            <w:pPr>
              <w:jc w:val="center"/>
            </w:pPr>
            <w:r/>
            <w:r>
              <w:rPr>
                <w:rFonts w:ascii="Times New Roman" w:hAnsi="Times New Roman" w:eastAsia="Times New Roman"/>
                <w:sz w:val="20"/>
              </w:rPr>
              <w:t>31,4</w:t>
            </w:r>
          </w:p>
        </w:tc>
      </w:tr>
      <w:tr>
        <w:tc>
          <w:tcPr>
            <w:tcW w:type="dxa" w:w="1567"/>
            <w:vAlign w:val="center"/>
          </w:tcPr>
          <w:p>
            <w:pPr>
              <w:jc w:val="left"/>
            </w:pPr>
            <w:r/>
            <w:r>
              <w:rPr>
                <w:rFonts w:ascii="Times New Roman" w:hAnsi="Times New Roman" w:eastAsia="Times New Roman"/>
                <w:sz w:val="20"/>
              </w:rPr>
              <w:t>4–5/2026</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9</w:t>
            </w:r>
          </w:p>
        </w:tc>
        <w:tc>
          <w:tcPr>
            <w:tcW w:type="dxa" w:w="1567"/>
            <w:vAlign w:val="center"/>
          </w:tcPr>
          <w:p>
            <w:pPr>
              <w:jc w:val="center"/>
            </w:pPr>
            <w:r/>
            <w:r>
              <w:rPr>
                <w:rFonts w:ascii="Times New Roman" w:hAnsi="Times New Roman" w:eastAsia="Times New Roman"/>
                <w:sz w:val="20"/>
              </w:rPr>
              <w:t>9</w:t>
            </w:r>
          </w:p>
        </w:tc>
        <w:tc>
          <w:tcPr>
            <w:tcW w:type="dxa" w:w="1567"/>
            <w:vAlign w:val="center"/>
          </w:tcPr>
          <w:p>
            <w:pPr>
              <w:jc w:val="center"/>
            </w:pPr>
            <w:r/>
            <w:r>
              <w:rPr>
                <w:rFonts w:ascii="Times New Roman" w:hAnsi="Times New Roman" w:eastAsia="Times New Roman"/>
                <w:sz w:val="20"/>
              </w:rPr>
              <w:t>2,6</w:t>
            </w:r>
          </w:p>
        </w:tc>
      </w:tr>
      <w:tr>
        <w:tc>
          <w:tcPr>
            <w:tcW w:type="dxa" w:w="1567"/>
            <w:vAlign w:val="center"/>
          </w:tcPr>
          <w:p>
            <w:pPr>
              <w:jc w:val="left"/>
            </w:pPr>
            <w:r/>
            <w:r>
              <w:rPr>
                <w:rFonts w:ascii="Times New Roman" w:hAnsi="Times New Roman" w:eastAsia="Times New Roman"/>
                <w:sz w:val="20"/>
              </w:rPr>
              <w:t>6/2026</w:t>
            </w:r>
          </w:p>
        </w:tc>
        <w:tc>
          <w:tcPr>
            <w:tcW w:type="dxa" w:w="1567"/>
            <w:vAlign w:val="center"/>
          </w:tcPr>
          <w:p>
            <w:pPr>
              <w:jc w:val="center"/>
            </w:pPr>
            <w:r/>
            <w:r>
              <w:rPr>
                <w:rFonts w:ascii="Times New Roman" w:hAnsi="Times New Roman" w:eastAsia="Times New Roman"/>
                <w:sz w:val="20"/>
              </w:rPr>
              <w:t>128</w:t>
            </w:r>
          </w:p>
        </w:tc>
        <w:tc>
          <w:tcPr>
            <w:tcW w:type="dxa" w:w="1567"/>
            <w:vAlign w:val="center"/>
          </w:tcPr>
          <w:p>
            <w:pPr>
              <w:jc w:val="center"/>
            </w:pPr>
            <w:r/>
            <w:r>
              <w:rPr>
                <w:rFonts w:ascii="Times New Roman" w:hAnsi="Times New Roman" w:eastAsia="Times New Roman"/>
                <w:sz w:val="20"/>
              </w:rPr>
              <w:t>3</w:t>
            </w:r>
          </w:p>
        </w:tc>
        <w:tc>
          <w:tcPr>
            <w:tcW w:type="dxa" w:w="1567"/>
            <w:vAlign w:val="center"/>
          </w:tcPr>
          <w:p>
            <w:pPr>
              <w:jc w:val="center"/>
            </w:pPr>
            <w:r/>
            <w:r>
              <w:rPr>
                <w:rFonts w:ascii="Times New Roman" w:hAnsi="Times New Roman" w:eastAsia="Times New Roman"/>
                <w:sz w:val="20"/>
              </w:rPr>
              <w:t>0</w:t>
            </w:r>
          </w:p>
        </w:tc>
        <w:tc>
          <w:tcPr>
            <w:tcW w:type="dxa" w:w="1567"/>
            <w:vAlign w:val="center"/>
          </w:tcPr>
          <w:p>
            <w:pPr>
              <w:jc w:val="center"/>
            </w:pPr>
            <w:r/>
            <w:r>
              <w:rPr>
                <w:rFonts w:ascii="Times New Roman" w:hAnsi="Times New Roman" w:eastAsia="Times New Roman"/>
                <w:sz w:val="20"/>
              </w:rPr>
              <w:t>131</w:t>
            </w:r>
          </w:p>
        </w:tc>
        <w:tc>
          <w:tcPr>
            <w:tcW w:type="dxa" w:w="1567"/>
            <w:vAlign w:val="center"/>
          </w:tcPr>
          <w:p>
            <w:pPr>
              <w:jc w:val="center"/>
            </w:pPr>
            <w:r/>
            <w:r>
              <w:rPr>
                <w:rFonts w:ascii="Times New Roman" w:hAnsi="Times New Roman" w:eastAsia="Times New Roman"/>
                <w:sz w:val="20"/>
              </w:rPr>
              <w:t>37,4</w:t>
            </w:r>
          </w:p>
        </w:tc>
      </w:tr>
      <w:tr>
        <w:tc>
          <w:tcPr>
            <w:tcW w:type="dxa" w:w="1567"/>
            <w:vAlign w:val="center"/>
          </w:tcPr>
          <w:p>
            <w:pPr>
              <w:jc w:val="left"/>
            </w:pPr>
            <w:r/>
            <w:r>
              <w:rPr>
                <w:rFonts w:ascii="Times New Roman" w:hAnsi="Times New Roman" w:eastAsia="Times New Roman"/>
                <w:sz w:val="20"/>
              </w:rPr>
              <w:t>Tổng</w:t>
            </w:r>
          </w:p>
        </w:tc>
        <w:tc>
          <w:tcPr>
            <w:tcW w:type="dxa" w:w="1567"/>
            <w:vAlign w:val="center"/>
          </w:tcPr>
          <w:p>
            <w:pPr>
              <w:jc w:val="center"/>
            </w:pPr>
            <w:r/>
            <w:r>
              <w:rPr>
                <w:rFonts w:ascii="Times New Roman" w:hAnsi="Times New Roman" w:eastAsia="Times New Roman"/>
                <w:sz w:val="20"/>
              </w:rPr>
              <w:t>316</w:t>
            </w:r>
          </w:p>
        </w:tc>
        <w:tc>
          <w:tcPr>
            <w:tcW w:type="dxa" w:w="1567"/>
            <w:vAlign w:val="center"/>
          </w:tcPr>
          <w:p>
            <w:pPr>
              <w:jc w:val="center"/>
            </w:pPr>
            <w:r/>
            <w:r>
              <w:rPr>
                <w:rFonts w:ascii="Times New Roman" w:hAnsi="Times New Roman" w:eastAsia="Times New Roman"/>
                <w:sz w:val="20"/>
              </w:rPr>
              <w:t>13</w:t>
            </w:r>
          </w:p>
        </w:tc>
        <w:tc>
          <w:tcPr>
            <w:tcW w:type="dxa" w:w="1567"/>
            <w:vAlign w:val="center"/>
          </w:tcPr>
          <w:p>
            <w:pPr>
              <w:jc w:val="center"/>
            </w:pPr>
            <w:r/>
            <w:r>
              <w:rPr>
                <w:rFonts w:ascii="Times New Roman" w:hAnsi="Times New Roman" w:eastAsia="Times New Roman"/>
                <w:sz w:val="20"/>
              </w:rPr>
              <w:t>21</w:t>
            </w:r>
          </w:p>
        </w:tc>
        <w:tc>
          <w:tcPr>
            <w:tcW w:type="dxa" w:w="1567"/>
            <w:vAlign w:val="center"/>
          </w:tcPr>
          <w:p>
            <w:pPr>
              <w:jc w:val="center"/>
            </w:pPr>
            <w:r/>
            <w:r>
              <w:rPr>
                <w:rFonts w:ascii="Times New Roman" w:hAnsi="Times New Roman" w:eastAsia="Times New Roman"/>
                <w:sz w:val="20"/>
              </w:rPr>
              <w:t>350</w:t>
            </w:r>
          </w:p>
        </w:tc>
        <w:tc>
          <w:tcPr>
            <w:tcW w:type="dxa" w:w="1567"/>
            <w:vAlign w:val="center"/>
          </w:tcPr>
          <w:p>
            <w:pPr>
              <w:jc w:val="center"/>
            </w:pPr>
            <w:r/>
            <w:r>
              <w:rPr>
                <w:rFonts w:ascii="Times New Roman" w:hAnsi="Times New Roman" w:eastAsia="Times New Roman"/>
                <w:sz w:val="20"/>
              </w:rPr>
              <w:t>100,0</w:t>
            </w:r>
          </w:p>
        </w:tc>
      </w:tr>
    </w:tbl>
    <w:p>
      <w:pPr>
        <w:spacing w:after="0"/>
      </w:pPr>
    </w:p>
    <w:p>
      <w:pPr>
        <w:keepNext w:val="0"/>
        <w:spacing w:after="160" w:line="276" w:lineRule="auto"/>
      </w:pPr>
      <w:r>
        <w:rPr>
          <w:rFonts w:ascii="Times New Roman" w:hAnsi="Times New Roman" w:eastAsia="Times New Roman"/>
          <w:b w:val="0"/>
          <w:i/>
          <w:sz w:val="21"/>
        </w:rPr>
        <w:t>Nguồn: Tính toán từ dữ liệu tốt nghiệp bằng Python.</w:t>
      </w:r>
    </w:p>
    <w:p>
      <w:pPr>
        <w:spacing w:before="40" w:after="60"/>
        <w:jc w:val="center"/>
      </w:pPr>
      <w:r>
        <w:drawing>
          <wp:inline xmlns:a="http://schemas.openxmlformats.org/drawingml/2006/main" xmlns:pic="http://schemas.openxmlformats.org/drawingml/2006/picture">
            <wp:extent cx="5580000" cy="3212077"/>
            <wp:docPr id="3" name="Picture 3"/>
            <wp:cNvGraphicFramePr>
              <a:graphicFrameLocks noChangeAspect="1"/>
            </wp:cNvGraphicFramePr>
            <a:graphic>
              <a:graphicData uri="http://schemas.openxmlformats.org/drawingml/2006/picture">
                <pic:pic>
                  <pic:nvPicPr>
                    <pic:cNvPr id="0" name="figure_3_batches.png"/>
                    <pic:cNvPicPr/>
                  </pic:nvPicPr>
                  <pic:blipFill>
                    <a:blip r:embed="rId11"/>
                    <a:stretch>
                      <a:fillRect/>
                    </a:stretch>
                  </pic:blipFill>
                  <pic:spPr>
                    <a:xfrm>
                      <a:off x="0" y="0"/>
                      <a:ext cx="5580000" cy="3212077"/>
                    </a:xfrm>
                    <a:prstGeom prst="rect"/>
                  </pic:spPr>
                </pic:pic>
              </a:graphicData>
            </a:graphic>
          </wp:inline>
        </w:drawing>
      </w:r>
    </w:p>
    <w:p>
      <w:pPr>
        <w:keepNext w:val="0"/>
        <w:spacing w:after="160" w:line="276" w:lineRule="auto"/>
        <w:jc w:val="center"/>
      </w:pPr>
      <w:r>
        <w:rPr>
          <w:rFonts w:ascii="Times New Roman" w:hAnsi="Times New Roman" w:eastAsia="Times New Roman"/>
          <w:b w:val="0"/>
          <w:i/>
          <w:sz w:val="21"/>
        </w:rPr>
        <w:t>Hình 3. Số lượng tốt nghiệp theo đợt xét và bậc đào tạo. Nguồn: Tính toán và trực quan hóa bằng Python.</w:t>
      </w:r>
    </w:p>
    <w:p>
      <w:pPr>
        <w:keepNext w:val="0"/>
        <w:spacing w:after="120" w:line="276" w:lineRule="auto"/>
        <w:jc w:val="both"/>
      </w:pPr>
      <w:r>
        <w:rPr>
          <w:rFonts w:ascii="Times New Roman" w:hAnsi="Times New Roman" w:eastAsia="Times New Roman"/>
          <w:b w:val="0"/>
          <w:i w:val="0"/>
          <w:sz w:val="26"/>
        </w:rPr>
        <w:t>Hai đợt 3/2026 và 6/2026 chiếm 68,8% tổng số người tốt nghiệp. Trực quan cho thấy phần lớn quy mô ở các đợt cao điểm đến từ bậc cử nhân, trong khi tiến sĩ tập trung vào các đợt riêng từ tháng 10/2025 đến tháng 5/2026. Khoa có thể dựa trên tính mùa vụ này để bố trí nhân sự xử lý hồ sơ và tổ chức lễ tốt nghiệp.</w:t>
      </w:r>
    </w:p>
    <w:p>
      <w:pPr>
        <w:keepNext/>
        <w:spacing w:after="80" w:line="276" w:lineRule="auto"/>
      </w:pPr>
      <w:r>
        <w:rPr>
          <w:rFonts w:ascii="Times New Roman" w:hAnsi="Times New Roman" w:eastAsia="Times New Roman"/>
          <w:b/>
          <w:i w:val="0"/>
          <w:sz w:val="24"/>
        </w:rPr>
        <w:t>Bảng 4. Tình trạng tốt nghiệp đúng hạn theo bậc đào tạo</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D9E2F3"/>
          </w:tcPr>
          <w:p>
            <w:pPr>
              <w:jc w:val="center"/>
            </w:pPr>
            <w:r/>
            <w:r>
              <w:rPr>
                <w:rFonts w:ascii="Times New Roman" w:hAnsi="Times New Roman" w:eastAsia="Times New Roman"/>
                <w:b/>
                <w:sz w:val="20"/>
              </w:rPr>
              <w:t>Bậc đào tạo</w:t>
            </w:r>
          </w:p>
        </w:tc>
        <w:tc>
          <w:tcPr>
            <w:tcW w:type="dxa" w:w="1881"/>
            <w:vAlign w:val="center"/>
            <w:shd w:fill="D9E2F3"/>
          </w:tcPr>
          <w:p>
            <w:pPr>
              <w:jc w:val="center"/>
            </w:pPr>
            <w:r/>
            <w:r>
              <w:rPr>
                <w:rFonts w:ascii="Times New Roman" w:hAnsi="Times New Roman" w:eastAsia="Times New Roman"/>
                <w:b/>
                <w:sz w:val="20"/>
              </w:rPr>
              <w:t>Đúng hạn</w:t>
            </w:r>
          </w:p>
        </w:tc>
        <w:tc>
          <w:tcPr>
            <w:tcW w:type="dxa" w:w="1881"/>
            <w:vAlign w:val="center"/>
            <w:shd w:fill="D9E2F3"/>
          </w:tcPr>
          <w:p>
            <w:pPr>
              <w:jc w:val="center"/>
            </w:pPr>
            <w:r/>
            <w:r>
              <w:rPr>
                <w:rFonts w:ascii="Times New Roman" w:hAnsi="Times New Roman" w:eastAsia="Times New Roman"/>
                <w:b/>
                <w:sz w:val="20"/>
              </w:rPr>
              <w:t>Trễ hạn</w:t>
            </w:r>
          </w:p>
        </w:tc>
        <w:tc>
          <w:tcPr>
            <w:tcW w:type="dxa" w:w="1881"/>
            <w:vAlign w:val="center"/>
            <w:shd w:fill="D9E2F3"/>
          </w:tcPr>
          <w:p>
            <w:pPr>
              <w:jc w:val="center"/>
            </w:pPr>
            <w:r/>
            <w:r>
              <w:rPr>
                <w:rFonts w:ascii="Times New Roman" w:hAnsi="Times New Roman" w:eastAsia="Times New Roman"/>
                <w:b/>
                <w:sz w:val="20"/>
              </w:rPr>
              <w:t>Tổng</w:t>
            </w:r>
          </w:p>
        </w:tc>
        <w:tc>
          <w:tcPr>
            <w:tcW w:type="dxa" w:w="1881"/>
            <w:vAlign w:val="center"/>
            <w:shd w:fill="D9E2F3"/>
          </w:tcPr>
          <w:p>
            <w:pPr>
              <w:jc w:val="center"/>
            </w:pPr>
            <w:r/>
            <w:r>
              <w:rPr>
                <w:rFonts w:ascii="Times New Roman" w:hAnsi="Times New Roman" w:eastAsia="Times New Roman"/>
                <w:b/>
                <w:sz w:val="20"/>
              </w:rPr>
              <w:t>Tỷ lệ đúng hạn (%)</w:t>
            </w:r>
          </w:p>
        </w:tc>
      </w:tr>
      <w:tr>
        <w:tc>
          <w:tcPr>
            <w:tcW w:type="dxa" w:w="1881"/>
            <w:vAlign w:val="center"/>
          </w:tcPr>
          <w:p>
            <w:pPr>
              <w:jc w:val="left"/>
            </w:pPr>
            <w:r/>
            <w:r>
              <w:rPr>
                <w:rFonts w:ascii="Times New Roman" w:hAnsi="Times New Roman" w:eastAsia="Times New Roman"/>
                <w:sz w:val="20"/>
              </w:rPr>
              <w:t>Cử nhân*</w:t>
            </w:r>
          </w:p>
        </w:tc>
        <w:tc>
          <w:tcPr>
            <w:tcW w:type="dxa" w:w="1881"/>
            <w:vAlign w:val="center"/>
          </w:tcPr>
          <w:p>
            <w:pPr>
              <w:jc w:val="center"/>
            </w:pPr>
            <w:r/>
            <w:r>
              <w:rPr>
                <w:rFonts w:ascii="Times New Roman" w:hAnsi="Times New Roman" w:eastAsia="Times New Roman"/>
                <w:sz w:val="20"/>
              </w:rPr>
              <w:t>269</w:t>
            </w:r>
          </w:p>
        </w:tc>
        <w:tc>
          <w:tcPr>
            <w:tcW w:type="dxa" w:w="1881"/>
            <w:vAlign w:val="center"/>
          </w:tcPr>
          <w:p>
            <w:pPr>
              <w:jc w:val="center"/>
            </w:pPr>
            <w:r/>
            <w:r>
              <w:rPr>
                <w:rFonts w:ascii="Times New Roman" w:hAnsi="Times New Roman" w:eastAsia="Times New Roman"/>
                <w:sz w:val="20"/>
              </w:rPr>
              <w:t>47</w:t>
            </w:r>
          </w:p>
        </w:tc>
        <w:tc>
          <w:tcPr>
            <w:tcW w:type="dxa" w:w="1881"/>
            <w:vAlign w:val="center"/>
          </w:tcPr>
          <w:p>
            <w:pPr>
              <w:jc w:val="center"/>
            </w:pPr>
            <w:r/>
            <w:r>
              <w:rPr>
                <w:rFonts w:ascii="Times New Roman" w:hAnsi="Times New Roman" w:eastAsia="Times New Roman"/>
                <w:sz w:val="20"/>
              </w:rPr>
              <w:t>316</w:t>
            </w:r>
          </w:p>
        </w:tc>
        <w:tc>
          <w:tcPr>
            <w:tcW w:type="dxa" w:w="1881"/>
            <w:vAlign w:val="center"/>
          </w:tcPr>
          <w:p>
            <w:pPr>
              <w:jc w:val="center"/>
            </w:pPr>
            <w:r/>
            <w:r>
              <w:rPr>
                <w:rFonts w:ascii="Times New Roman" w:hAnsi="Times New Roman" w:eastAsia="Times New Roman"/>
                <w:sz w:val="20"/>
              </w:rPr>
              <w:t>85,1</w:t>
            </w:r>
          </w:p>
        </w:tc>
      </w:tr>
      <w:tr>
        <w:tc>
          <w:tcPr>
            <w:tcW w:type="dxa" w:w="1881"/>
            <w:vAlign w:val="center"/>
          </w:tcPr>
          <w:p>
            <w:pPr>
              <w:jc w:val="left"/>
            </w:pPr>
            <w:r/>
            <w:r>
              <w:rPr>
                <w:rFonts w:ascii="Times New Roman" w:hAnsi="Times New Roman" w:eastAsia="Times New Roman"/>
                <w:sz w:val="20"/>
              </w:rPr>
              <w:t>Thạc sĩ</w:t>
            </w:r>
          </w:p>
        </w:tc>
        <w:tc>
          <w:tcPr>
            <w:tcW w:type="dxa" w:w="1881"/>
            <w:vAlign w:val="center"/>
          </w:tcPr>
          <w:p>
            <w:pPr>
              <w:jc w:val="center"/>
            </w:pPr>
            <w:r/>
            <w:r>
              <w:rPr>
                <w:rFonts w:ascii="Times New Roman" w:hAnsi="Times New Roman" w:eastAsia="Times New Roman"/>
                <w:sz w:val="20"/>
              </w:rPr>
              <w:t>8</w:t>
            </w:r>
          </w:p>
        </w:tc>
        <w:tc>
          <w:tcPr>
            <w:tcW w:type="dxa" w:w="1881"/>
            <w:vAlign w:val="center"/>
          </w:tcPr>
          <w:p>
            <w:pPr>
              <w:jc w:val="center"/>
            </w:pPr>
            <w:r/>
            <w:r>
              <w:rPr>
                <w:rFonts w:ascii="Times New Roman" w:hAnsi="Times New Roman" w:eastAsia="Times New Roman"/>
                <w:sz w:val="20"/>
              </w:rPr>
              <w:t>5</w:t>
            </w:r>
          </w:p>
        </w:tc>
        <w:tc>
          <w:tcPr>
            <w:tcW w:type="dxa" w:w="1881"/>
            <w:vAlign w:val="center"/>
          </w:tcPr>
          <w:p>
            <w:pPr>
              <w:jc w:val="center"/>
            </w:pPr>
            <w:r/>
            <w:r>
              <w:rPr>
                <w:rFonts w:ascii="Times New Roman" w:hAnsi="Times New Roman" w:eastAsia="Times New Roman"/>
                <w:sz w:val="20"/>
              </w:rPr>
              <w:t>13</w:t>
            </w:r>
          </w:p>
        </w:tc>
        <w:tc>
          <w:tcPr>
            <w:tcW w:type="dxa" w:w="1881"/>
            <w:vAlign w:val="center"/>
          </w:tcPr>
          <w:p>
            <w:pPr>
              <w:jc w:val="center"/>
            </w:pPr>
            <w:r/>
            <w:r>
              <w:rPr>
                <w:rFonts w:ascii="Times New Roman" w:hAnsi="Times New Roman" w:eastAsia="Times New Roman"/>
                <w:sz w:val="20"/>
              </w:rPr>
              <w:t>61,5</w:t>
            </w:r>
          </w:p>
        </w:tc>
      </w:tr>
      <w:tr>
        <w:tc>
          <w:tcPr>
            <w:tcW w:type="dxa" w:w="1881"/>
            <w:vAlign w:val="center"/>
          </w:tcPr>
          <w:p>
            <w:pPr>
              <w:jc w:val="left"/>
            </w:pPr>
            <w:r/>
            <w:r>
              <w:rPr>
                <w:rFonts w:ascii="Times New Roman" w:hAnsi="Times New Roman" w:eastAsia="Times New Roman"/>
                <w:sz w:val="20"/>
              </w:rPr>
              <w:t>Tiến sĩ</w:t>
            </w:r>
          </w:p>
        </w:tc>
        <w:tc>
          <w:tcPr>
            <w:tcW w:type="dxa" w:w="1881"/>
            <w:vAlign w:val="center"/>
          </w:tcPr>
          <w:p>
            <w:pPr>
              <w:jc w:val="center"/>
            </w:pPr>
            <w:r/>
            <w:r>
              <w:rPr>
                <w:rFonts w:ascii="Times New Roman" w:hAnsi="Times New Roman" w:eastAsia="Times New Roman"/>
                <w:sz w:val="20"/>
              </w:rPr>
              <w:t>7</w:t>
            </w:r>
          </w:p>
        </w:tc>
        <w:tc>
          <w:tcPr>
            <w:tcW w:type="dxa" w:w="1881"/>
            <w:vAlign w:val="center"/>
          </w:tcPr>
          <w:p>
            <w:pPr>
              <w:jc w:val="center"/>
            </w:pPr>
            <w:r/>
            <w:r>
              <w:rPr>
                <w:rFonts w:ascii="Times New Roman" w:hAnsi="Times New Roman" w:eastAsia="Times New Roman"/>
                <w:sz w:val="20"/>
              </w:rPr>
              <w:t>14</w:t>
            </w:r>
          </w:p>
        </w:tc>
        <w:tc>
          <w:tcPr>
            <w:tcW w:type="dxa" w:w="1881"/>
            <w:vAlign w:val="center"/>
          </w:tcPr>
          <w:p>
            <w:pPr>
              <w:jc w:val="center"/>
            </w:pPr>
            <w:r/>
            <w:r>
              <w:rPr>
                <w:rFonts w:ascii="Times New Roman" w:hAnsi="Times New Roman" w:eastAsia="Times New Roman"/>
                <w:sz w:val="20"/>
              </w:rPr>
              <w:t>21</w:t>
            </w:r>
          </w:p>
        </w:tc>
        <w:tc>
          <w:tcPr>
            <w:tcW w:type="dxa" w:w="1881"/>
            <w:vAlign w:val="center"/>
          </w:tcPr>
          <w:p>
            <w:pPr>
              <w:jc w:val="center"/>
            </w:pPr>
            <w:r/>
            <w:r>
              <w:rPr>
                <w:rFonts w:ascii="Times New Roman" w:hAnsi="Times New Roman" w:eastAsia="Times New Roman"/>
                <w:sz w:val="20"/>
              </w:rPr>
              <w:t>33,3</w:t>
            </w:r>
          </w:p>
        </w:tc>
      </w:tr>
    </w:tbl>
    <w:p>
      <w:pPr>
        <w:spacing w:after="0"/>
      </w:pPr>
    </w:p>
    <w:p>
      <w:pPr>
        <w:keepNext w:val="0"/>
        <w:spacing w:after="160" w:line="276" w:lineRule="auto"/>
      </w:pPr>
      <w:r>
        <w:rPr>
          <w:rFonts w:ascii="Times New Roman" w:hAnsi="Times New Roman" w:eastAsia="Times New Roman"/>
          <w:b w:val="0"/>
          <w:i/>
          <w:sz w:val="21"/>
        </w:rPr>
        <w:t>Nguồn: Tính toán bằng Python. (*) Cử nhân đúng hạn được quy ước là sinh viên khóa QH-2022 tốt nghiệp trong năm học 2025–2026; các khóa trước được xếp là trễ hạn.</w:t>
      </w:r>
    </w:p>
    <w:p>
      <w:pPr>
        <w:spacing w:before="40" w:after="60"/>
        <w:jc w:val="center"/>
      </w:pPr>
      <w:r>
        <w:drawing>
          <wp:inline xmlns:a="http://schemas.openxmlformats.org/drawingml/2006/main" xmlns:pic="http://schemas.openxmlformats.org/drawingml/2006/picture">
            <wp:extent cx="5580000" cy="3237309"/>
            <wp:docPr id="4" name="Picture 4"/>
            <wp:cNvGraphicFramePr>
              <a:graphicFrameLocks noChangeAspect="1"/>
            </wp:cNvGraphicFramePr>
            <a:graphic>
              <a:graphicData uri="http://schemas.openxmlformats.org/drawingml/2006/picture">
                <pic:pic>
                  <pic:nvPicPr>
                    <pic:cNvPr id="0" name="figure_4_ontime.png"/>
                    <pic:cNvPicPr/>
                  </pic:nvPicPr>
                  <pic:blipFill>
                    <a:blip r:embed="rId12"/>
                    <a:stretch>
                      <a:fillRect/>
                    </a:stretch>
                  </pic:blipFill>
                  <pic:spPr>
                    <a:xfrm>
                      <a:off x="0" y="0"/>
                      <a:ext cx="5580000" cy="3237309"/>
                    </a:xfrm>
                    <a:prstGeom prst="rect"/>
                  </pic:spPr>
                </pic:pic>
              </a:graphicData>
            </a:graphic>
          </wp:inline>
        </w:drawing>
      </w:r>
    </w:p>
    <w:p>
      <w:pPr>
        <w:keepNext w:val="0"/>
        <w:spacing w:after="160" w:line="276" w:lineRule="auto"/>
        <w:jc w:val="center"/>
      </w:pPr>
      <w:r>
        <w:rPr>
          <w:rFonts w:ascii="Times New Roman" w:hAnsi="Times New Roman" w:eastAsia="Times New Roman"/>
          <w:b w:val="0"/>
          <w:i/>
          <w:sz w:val="21"/>
        </w:rPr>
        <w:t>Hình 4. Tỷ lệ tốt nghiệp đúng hạn theo bậc đào tạo. Nguồn: Tính toán và trực quan hóa bằng Python.</w:t>
      </w:r>
    </w:p>
    <w:p>
      <w:pPr>
        <w:keepNext w:val="0"/>
        <w:spacing w:after="120" w:line="276" w:lineRule="auto"/>
        <w:jc w:val="both"/>
      </w:pPr>
      <w:r>
        <w:rPr>
          <w:rFonts w:ascii="Times New Roman" w:hAnsi="Times New Roman" w:eastAsia="Times New Roman"/>
          <w:b w:val="0"/>
          <w:i w:val="0"/>
          <w:sz w:val="26"/>
        </w:rPr>
        <w:t>Tỷ lệ đúng hạn giảm theo bậc đào tạo: 85,1% ở cử nhân, 61,5% ở thạc sĩ và 33,3% ở tiến sĩ. Đối với bậc sau đại học, kết quả cần được diễn giải thận trọng vì tiến độ còn phụ thuộc vào đặc thù nghiên cứu, yêu cầu công bố và tình trạng vừa học vừa làm.</w:t>
      </w:r>
    </w:p>
    <w:p>
      <w:pPr>
        <w:keepNext/>
        <w:spacing w:after="80" w:line="276" w:lineRule="auto"/>
      </w:pPr>
      <w:r>
        <w:rPr>
          <w:rFonts w:ascii="Times New Roman" w:hAnsi="Times New Roman" w:eastAsia="Times New Roman"/>
          <w:b/>
          <w:i w:val="0"/>
          <w:sz w:val="24"/>
        </w:rPr>
        <w:t>Bảng 5. Phân bố xếp loại theo giới tính và kiểm định độc lập</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1567"/>
            <w:vAlign w:val="center"/>
            <w:shd w:fill="D9E2F3"/>
          </w:tcPr>
          <w:p>
            <w:pPr>
              <w:jc w:val="center"/>
            </w:pPr>
            <w:r/>
            <w:r>
              <w:rPr>
                <w:rFonts w:ascii="Times New Roman" w:hAnsi="Times New Roman" w:eastAsia="Times New Roman"/>
                <w:b/>
                <w:sz w:val="20"/>
              </w:rPr>
              <w:t>Giới tính</w:t>
            </w:r>
          </w:p>
        </w:tc>
        <w:tc>
          <w:tcPr>
            <w:tcW w:type="dxa" w:w="1567"/>
            <w:vAlign w:val="center"/>
            <w:shd w:fill="D9E2F3"/>
          </w:tcPr>
          <w:p>
            <w:pPr>
              <w:jc w:val="center"/>
            </w:pPr>
            <w:r/>
            <w:r>
              <w:rPr>
                <w:rFonts w:ascii="Times New Roman" w:hAnsi="Times New Roman" w:eastAsia="Times New Roman"/>
                <w:b/>
                <w:sz w:val="20"/>
              </w:rPr>
              <w:t>Xuất sắc</w:t>
            </w:r>
          </w:p>
        </w:tc>
        <w:tc>
          <w:tcPr>
            <w:tcW w:type="dxa" w:w="1567"/>
            <w:vAlign w:val="center"/>
            <w:shd w:fill="D9E2F3"/>
          </w:tcPr>
          <w:p>
            <w:pPr>
              <w:jc w:val="center"/>
            </w:pPr>
            <w:r/>
            <w:r>
              <w:rPr>
                <w:rFonts w:ascii="Times New Roman" w:hAnsi="Times New Roman" w:eastAsia="Times New Roman"/>
                <w:b/>
                <w:sz w:val="20"/>
              </w:rPr>
              <w:t>Giỏi</w:t>
            </w:r>
          </w:p>
        </w:tc>
        <w:tc>
          <w:tcPr>
            <w:tcW w:type="dxa" w:w="1567"/>
            <w:vAlign w:val="center"/>
            <w:shd w:fill="D9E2F3"/>
          </w:tcPr>
          <w:p>
            <w:pPr>
              <w:jc w:val="center"/>
            </w:pPr>
            <w:r/>
            <w:r>
              <w:rPr>
                <w:rFonts w:ascii="Times New Roman" w:hAnsi="Times New Roman" w:eastAsia="Times New Roman"/>
                <w:b/>
                <w:sz w:val="20"/>
              </w:rPr>
              <w:t>Khá</w:t>
            </w:r>
          </w:p>
        </w:tc>
        <w:tc>
          <w:tcPr>
            <w:tcW w:type="dxa" w:w="1567"/>
            <w:vAlign w:val="center"/>
            <w:shd w:fill="D9E2F3"/>
          </w:tcPr>
          <w:p>
            <w:pPr>
              <w:jc w:val="center"/>
            </w:pPr>
            <w:r/>
            <w:r>
              <w:rPr>
                <w:rFonts w:ascii="Times New Roman" w:hAnsi="Times New Roman" w:eastAsia="Times New Roman"/>
                <w:b/>
                <w:sz w:val="20"/>
              </w:rPr>
              <w:t>Tổng</w:t>
            </w:r>
          </w:p>
        </w:tc>
        <w:tc>
          <w:tcPr>
            <w:tcW w:type="dxa" w:w="1567"/>
            <w:vAlign w:val="center"/>
            <w:shd w:fill="D9E2F3"/>
          </w:tcPr>
          <w:p>
            <w:pPr>
              <w:jc w:val="center"/>
            </w:pPr>
            <w:r/>
            <w:r>
              <w:rPr>
                <w:rFonts w:ascii="Times New Roman" w:hAnsi="Times New Roman" w:eastAsia="Times New Roman"/>
                <w:b/>
                <w:sz w:val="20"/>
              </w:rPr>
              <w:t>Giỏi trở lên (%)</w:t>
            </w:r>
          </w:p>
        </w:tc>
      </w:tr>
      <w:tr>
        <w:tc>
          <w:tcPr>
            <w:tcW w:type="dxa" w:w="1567"/>
            <w:vAlign w:val="center"/>
          </w:tcPr>
          <w:p>
            <w:pPr>
              <w:jc w:val="left"/>
            </w:pPr>
            <w:r/>
            <w:r>
              <w:rPr>
                <w:rFonts w:ascii="Times New Roman" w:hAnsi="Times New Roman" w:eastAsia="Times New Roman"/>
                <w:sz w:val="20"/>
              </w:rPr>
              <w:t>Nữ</w:t>
            </w:r>
          </w:p>
        </w:tc>
        <w:tc>
          <w:tcPr>
            <w:tcW w:type="dxa" w:w="1567"/>
            <w:vAlign w:val="center"/>
          </w:tcPr>
          <w:p>
            <w:pPr>
              <w:jc w:val="center"/>
            </w:pPr>
            <w:r/>
            <w:r>
              <w:rPr>
                <w:rFonts w:ascii="Times New Roman" w:hAnsi="Times New Roman" w:eastAsia="Times New Roman"/>
                <w:sz w:val="20"/>
              </w:rPr>
              <w:t>61 (28,5%)</w:t>
            </w:r>
          </w:p>
        </w:tc>
        <w:tc>
          <w:tcPr>
            <w:tcW w:type="dxa" w:w="1567"/>
            <w:vAlign w:val="center"/>
          </w:tcPr>
          <w:p>
            <w:pPr>
              <w:jc w:val="center"/>
            </w:pPr>
            <w:r/>
            <w:r>
              <w:rPr>
                <w:rFonts w:ascii="Times New Roman" w:hAnsi="Times New Roman" w:eastAsia="Times New Roman"/>
                <w:sz w:val="20"/>
              </w:rPr>
              <w:t>125 (58,4%)</w:t>
            </w:r>
          </w:p>
        </w:tc>
        <w:tc>
          <w:tcPr>
            <w:tcW w:type="dxa" w:w="1567"/>
            <w:vAlign w:val="center"/>
          </w:tcPr>
          <w:p>
            <w:pPr>
              <w:jc w:val="center"/>
            </w:pPr>
            <w:r/>
            <w:r>
              <w:rPr>
                <w:rFonts w:ascii="Times New Roman" w:hAnsi="Times New Roman" w:eastAsia="Times New Roman"/>
                <w:sz w:val="20"/>
              </w:rPr>
              <w:t>28 (13,1%)</w:t>
            </w:r>
          </w:p>
        </w:tc>
        <w:tc>
          <w:tcPr>
            <w:tcW w:type="dxa" w:w="1567"/>
            <w:vAlign w:val="center"/>
          </w:tcPr>
          <w:p>
            <w:pPr>
              <w:jc w:val="center"/>
            </w:pPr>
            <w:r/>
            <w:r>
              <w:rPr>
                <w:rFonts w:ascii="Times New Roman" w:hAnsi="Times New Roman" w:eastAsia="Times New Roman"/>
                <w:sz w:val="20"/>
              </w:rPr>
              <w:t>214</w:t>
            </w:r>
          </w:p>
        </w:tc>
        <w:tc>
          <w:tcPr>
            <w:tcW w:type="dxa" w:w="1567"/>
            <w:vAlign w:val="center"/>
          </w:tcPr>
          <w:p>
            <w:pPr>
              <w:jc w:val="center"/>
            </w:pPr>
            <w:r/>
            <w:r>
              <w:rPr>
                <w:rFonts w:ascii="Times New Roman" w:hAnsi="Times New Roman" w:eastAsia="Times New Roman"/>
                <w:sz w:val="20"/>
              </w:rPr>
              <w:t>86,9</w:t>
            </w:r>
          </w:p>
        </w:tc>
      </w:tr>
      <w:tr>
        <w:tc>
          <w:tcPr>
            <w:tcW w:type="dxa" w:w="1567"/>
            <w:vAlign w:val="center"/>
          </w:tcPr>
          <w:p>
            <w:pPr>
              <w:jc w:val="left"/>
            </w:pPr>
            <w:r/>
            <w:r>
              <w:rPr>
                <w:rFonts w:ascii="Times New Roman" w:hAnsi="Times New Roman" w:eastAsia="Times New Roman"/>
                <w:sz w:val="20"/>
              </w:rPr>
              <w:t>Nam</w:t>
            </w:r>
          </w:p>
        </w:tc>
        <w:tc>
          <w:tcPr>
            <w:tcW w:type="dxa" w:w="1567"/>
            <w:vAlign w:val="center"/>
          </w:tcPr>
          <w:p>
            <w:pPr>
              <w:jc w:val="center"/>
            </w:pPr>
            <w:r/>
            <w:r>
              <w:rPr>
                <w:rFonts w:ascii="Times New Roman" w:hAnsi="Times New Roman" w:eastAsia="Times New Roman"/>
                <w:sz w:val="20"/>
              </w:rPr>
              <w:t>10 (9,8%)</w:t>
            </w:r>
          </w:p>
        </w:tc>
        <w:tc>
          <w:tcPr>
            <w:tcW w:type="dxa" w:w="1567"/>
            <w:vAlign w:val="center"/>
          </w:tcPr>
          <w:p>
            <w:pPr>
              <w:jc w:val="center"/>
            </w:pPr>
            <w:r/>
            <w:r>
              <w:rPr>
                <w:rFonts w:ascii="Times New Roman" w:hAnsi="Times New Roman" w:eastAsia="Times New Roman"/>
                <w:sz w:val="20"/>
              </w:rPr>
              <w:t>53 (52,0%)</w:t>
            </w:r>
          </w:p>
        </w:tc>
        <w:tc>
          <w:tcPr>
            <w:tcW w:type="dxa" w:w="1567"/>
            <w:vAlign w:val="center"/>
          </w:tcPr>
          <w:p>
            <w:pPr>
              <w:jc w:val="center"/>
            </w:pPr>
            <w:r/>
            <w:r>
              <w:rPr>
                <w:rFonts w:ascii="Times New Roman" w:hAnsi="Times New Roman" w:eastAsia="Times New Roman"/>
                <w:sz w:val="20"/>
              </w:rPr>
              <w:t>39 (38,2%)</w:t>
            </w:r>
          </w:p>
        </w:tc>
        <w:tc>
          <w:tcPr>
            <w:tcW w:type="dxa" w:w="1567"/>
            <w:vAlign w:val="center"/>
          </w:tcPr>
          <w:p>
            <w:pPr>
              <w:jc w:val="center"/>
            </w:pPr>
            <w:r/>
            <w:r>
              <w:rPr>
                <w:rFonts w:ascii="Times New Roman" w:hAnsi="Times New Roman" w:eastAsia="Times New Roman"/>
                <w:sz w:val="20"/>
              </w:rPr>
              <w:t>102</w:t>
            </w:r>
          </w:p>
        </w:tc>
        <w:tc>
          <w:tcPr>
            <w:tcW w:type="dxa" w:w="1567"/>
            <w:vAlign w:val="center"/>
          </w:tcPr>
          <w:p>
            <w:pPr>
              <w:jc w:val="center"/>
            </w:pPr>
            <w:r/>
            <w:r>
              <w:rPr>
                <w:rFonts w:ascii="Times New Roman" w:hAnsi="Times New Roman" w:eastAsia="Times New Roman"/>
                <w:sz w:val="20"/>
              </w:rPr>
              <w:t>61,8</w:t>
            </w:r>
          </w:p>
        </w:tc>
      </w:tr>
    </w:tbl>
    <w:p>
      <w:pPr>
        <w:spacing w:after="0"/>
      </w:pPr>
    </w:p>
    <w:p>
      <w:pPr>
        <w:keepNext w:val="0"/>
        <w:spacing w:after="160" w:line="276" w:lineRule="auto"/>
      </w:pPr>
      <w:r>
        <w:rPr>
          <w:rFonts w:ascii="Times New Roman" w:hAnsi="Times New Roman" w:eastAsia="Times New Roman"/>
          <w:b w:val="0"/>
          <w:i/>
          <w:sz w:val="21"/>
        </w:rPr>
        <w:t>Nguồn: Tính toán bằng Python. Kiểm định Chi bình phương: χ²(2) = 31,87; p &lt; 0,001.</w:t>
      </w:r>
    </w:p>
    <w:p>
      <w:pPr>
        <w:spacing w:before="40" w:after="60"/>
        <w:jc w:val="center"/>
      </w:pPr>
      <w:r>
        <w:drawing>
          <wp:inline xmlns:a="http://schemas.openxmlformats.org/drawingml/2006/main" xmlns:pic="http://schemas.openxmlformats.org/drawingml/2006/picture">
            <wp:extent cx="5580000" cy="3290380"/>
            <wp:docPr id="5" name="Picture 5"/>
            <wp:cNvGraphicFramePr>
              <a:graphicFrameLocks noChangeAspect="1"/>
            </wp:cNvGraphicFramePr>
            <a:graphic>
              <a:graphicData uri="http://schemas.openxmlformats.org/drawingml/2006/picture">
                <pic:pic>
                  <pic:nvPicPr>
                    <pic:cNvPr id="0" name="figure_5_gender_class.png"/>
                    <pic:cNvPicPr/>
                  </pic:nvPicPr>
                  <pic:blipFill>
                    <a:blip r:embed="rId13"/>
                    <a:stretch>
                      <a:fillRect/>
                    </a:stretch>
                  </pic:blipFill>
                  <pic:spPr>
                    <a:xfrm>
                      <a:off x="0" y="0"/>
                      <a:ext cx="5580000" cy="3290380"/>
                    </a:xfrm>
                    <a:prstGeom prst="rect"/>
                  </pic:spPr>
                </pic:pic>
              </a:graphicData>
            </a:graphic>
          </wp:inline>
        </w:drawing>
      </w:r>
    </w:p>
    <w:p>
      <w:pPr>
        <w:keepNext w:val="0"/>
        <w:spacing w:after="160" w:line="276" w:lineRule="auto"/>
        <w:jc w:val="center"/>
      </w:pPr>
      <w:r>
        <w:rPr>
          <w:rFonts w:ascii="Times New Roman" w:hAnsi="Times New Roman" w:eastAsia="Times New Roman"/>
          <w:b w:val="0"/>
          <w:i/>
          <w:sz w:val="21"/>
        </w:rPr>
        <w:t>Hình 5. Cơ cấu xếp loại tốt nghiệp theo giới tính. Nguồn: Tính toán và trực quan hóa bằng Python.</w:t>
      </w:r>
    </w:p>
    <w:p>
      <w:pPr>
        <w:keepNext w:val="0"/>
        <w:spacing w:after="120" w:line="276" w:lineRule="auto"/>
        <w:jc w:val="both"/>
      </w:pPr>
      <w:r>
        <w:rPr>
          <w:rFonts w:ascii="Times New Roman" w:hAnsi="Times New Roman" w:eastAsia="Times New Roman"/>
          <w:b w:val="0"/>
          <w:i w:val="0"/>
          <w:sz w:val="26"/>
        </w:rPr>
        <w:t>Cơ cấu xếp loại khác biệt có ý nghĩa thống kê giữa nam và nữ. Tỷ lệ đạt Giỏi trở lên ở nữ là 86,9%, cao hơn mức 61,8% ở nam. Hình 5 cho thấy khác biệt chủ yếu đến từ tỷ lệ Xuất sắc cao hơn ở nữ và tỷ lệ Khá cao hơn ở nam. Tuy nhiên, kết quả chỉ phản ánh mối liên hệ thống kê trong mẫu, không phải quan hệ nhân quả.</w:t>
      </w:r>
    </w:p>
    <w:p>
      <w:pPr>
        <w:keepNext/>
        <w:spacing w:after="120" w:line="276" w:lineRule="auto"/>
      </w:pPr>
      <w:r>
        <w:rPr>
          <w:rFonts w:ascii="Times New Roman" w:hAnsi="Times New Roman" w:eastAsia="Times New Roman"/>
          <w:b/>
          <w:i w:val="0"/>
          <w:sz w:val="26"/>
        </w:rPr>
        <w:t>3. Kết luận và khuyến nghị</w:t>
      </w:r>
    </w:p>
    <w:p>
      <w:pPr>
        <w:keepNext w:val="0"/>
        <w:spacing w:after="120" w:line="276" w:lineRule="auto"/>
        <w:jc w:val="both"/>
      </w:pPr>
      <w:r>
        <w:rPr>
          <w:rFonts w:ascii="Times New Roman" w:hAnsi="Times New Roman" w:eastAsia="Times New Roman"/>
          <w:b w:val="0"/>
          <w:i w:val="0"/>
          <w:sz w:val="26"/>
        </w:rPr>
        <w:t>Kết quả cho thấy chất lượng đầu ra bậc cử nhân ở mức cao, với GPA trung bình 3,36 và 78,8% sinh viên đạt Giỏi hoặc Xuất sắc. Hoạt động xét tốt nghiệp có tính mùa vụ rõ rệt, tập trung vào tháng 3 và tháng 6 năm 2026. Tỷ lệ tốt nghiệp đúng hạn giảm đáng kể ở các bậc đào tạo cao hơn. Bên cạnh đó, một số trường hợp GPA không tương thích trực quan với xếp loại cho thấy cần rà soát quy tắc phân loại và chuẩn hóa dữ liệu. Khoa nên xây dựng bộ quy tắc kiểm tra tự động đối với GPA, xếp loại, khóa học và tình trạng tốt nghiệp trước khi tổng hợp báo cáo chính thức.</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