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DE8BE05" w14:textId="71210FF1" w:rsidR="0095035F" w:rsidRDefault="00CD55C4">
      <w:r>
        <w:t xml:space="preserve">General comments: </w:t>
      </w:r>
    </w:p>
    <w:p w14:paraId="32A78A3D" w14:textId="73AF13FD" w:rsidR="00CD55C4" w:rsidRDefault="00CD55C4">
      <w:r>
        <w:t>Establishment of introductions</w:t>
      </w:r>
    </w:p>
    <w:p w14:paraId="36326435" w14:textId="77777777" w:rsidR="001C3B4A" w:rsidRDefault="00CD55C4" w:rsidP="00CD55C4">
      <w:r w:rsidRPr="00CD55C4">
        <w:t>The manuscript should clarify the establishment history of the introduced Cove Spring population</w:t>
      </w:r>
      <w:r w:rsidR="001C7C0B">
        <w:t xml:space="preserve">.  </w:t>
      </w:r>
      <w:r w:rsidRPr="00CD55C4">
        <w:t xml:space="preserve">The </w:t>
      </w:r>
      <w:r w:rsidR="00CC3C37">
        <w:t xml:space="preserve">cove spring </w:t>
      </w:r>
      <w:r w:rsidRPr="00CD55C4">
        <w:t xml:space="preserve">introduced population was not derived from ex situ genotypes. </w:t>
      </w:r>
    </w:p>
    <w:p w14:paraId="67E0757E" w14:textId="0DE21AFF" w:rsidR="00CD55C4" w:rsidRPr="00CD55C4" w:rsidRDefault="00CD55C4" w:rsidP="00CD55C4">
      <w:r w:rsidRPr="00CD55C4">
        <w:t xml:space="preserve">In 2014, approximately 100 seeds were collected from the original </w:t>
      </w:r>
      <w:r w:rsidRPr="004F3C69">
        <w:rPr>
          <w:highlight w:val="lightGray"/>
        </w:rPr>
        <w:t>Cove Spring Road</w:t>
      </w:r>
      <w:r w:rsidRPr="00CD55C4">
        <w:t xml:space="preserve"> population and moved to suitable habitat on the east end of Cove Spring Park, approximately one mile away from the original site. The introduction site had recently been cleared of honeysuckle prior to seed addition, within an approximately 5 × 5 m managed area. The habitat included limestone rock outcrops and associated woody species such as Juniperus virginiana, Quercus </w:t>
      </w:r>
      <w:proofErr w:type="spellStart"/>
      <w:r w:rsidRPr="00CD55C4">
        <w:t>muehlenbergii</w:t>
      </w:r>
      <w:proofErr w:type="spellEnd"/>
      <w:r w:rsidRPr="00CD55C4">
        <w:t xml:space="preserve">, Fraxinus </w:t>
      </w:r>
      <w:proofErr w:type="spellStart"/>
      <w:r w:rsidRPr="00CD55C4">
        <w:t>quadrangulata</w:t>
      </w:r>
      <w:proofErr w:type="spellEnd"/>
      <w:r w:rsidRPr="00CD55C4">
        <w:t>, Cercis canadensis, and Ostrya virginiana.</w:t>
      </w:r>
    </w:p>
    <w:p w14:paraId="2908533E" w14:textId="7DFC6193" w:rsidR="00CD55C4" w:rsidRPr="00CD55C4" w:rsidRDefault="00CD55C4" w:rsidP="00CD55C4">
      <w:r w:rsidRPr="00CD55C4">
        <w:t xml:space="preserve">In 2015, approximately 200 additional seeds from a </w:t>
      </w:r>
      <w:r w:rsidRPr="00203E16">
        <w:rPr>
          <w:highlight w:val="lightGray"/>
        </w:rPr>
        <w:t>Woodford County population</w:t>
      </w:r>
      <w:r w:rsidRPr="00CD55C4">
        <w:t xml:space="preserve"> were introduced at the site. Honeysuckle removal continued in winter 2015, with management focused on expanding the original cleared area where Physaria was introduced. Therefore, the introduced Cove Spring population </w:t>
      </w:r>
      <w:r w:rsidR="00CC3C37">
        <w:t>could</w:t>
      </w:r>
      <w:r w:rsidRPr="00CD55C4">
        <w:t xml:space="preserve"> be described as a field-established introduction with mixed seed-source origins: initially established in 2014 from Cove Spring Road seed and augmented in 2015 with Woodford County seed. Based on the number of seeds introduced, Woodford County seed may represent a substantial, and possibly larger, contribution to the introduced population than the original Cove Spring seed source.</w:t>
      </w:r>
    </w:p>
    <w:p w14:paraId="3F6E3DA7" w14:textId="77777777" w:rsidR="00CD55C4" w:rsidRPr="00CD55C4" w:rsidRDefault="00CD55C4" w:rsidP="00CD55C4">
      <w:r w:rsidRPr="00CD55C4">
        <w:t>The demographic record also suggests that the population established gradually following introduction and habitat management. No plants were observed in 2014, followed by two vegetative plants in 2015, six vegetative and one flowering plant in 2016, and continued increases in flowering plants through 2019. Later increases appear to coincide with continued habitat management and expansion of honeysuckle removal at the site, including volunteer and staff work in 2019 and 2023.</w:t>
      </w:r>
    </w:p>
    <w:p w14:paraId="033FF821" w14:textId="28353300" w:rsidR="00CD55C4" w:rsidRDefault="00CD55C4" w:rsidP="00CD55C4">
      <w:r w:rsidRPr="00CD55C4">
        <w:t>we conduct annual monitoring of the cove spring introduction along with floristic associates and we plan to publish these results along with other demographic data at some point.</w:t>
      </w:r>
    </w:p>
    <w:p w14:paraId="6A564E9B" w14:textId="2FB48D23" w:rsidR="00634E8C" w:rsidRDefault="00634E8C" w:rsidP="00CD55C4">
      <w:r>
        <w:t>Cove spring introduction (to be published in demography paper at some point)</w:t>
      </w:r>
    </w:p>
    <w:tbl>
      <w:tblPr>
        <w:tblW w:w="4560" w:type="dxa"/>
        <w:tblInd w:w="113" w:type="dxa"/>
        <w:tblLook w:val="04A0" w:firstRow="1" w:lastRow="0" w:firstColumn="1" w:lastColumn="0" w:noHBand="0" w:noVBand="1"/>
      </w:tblPr>
      <w:tblGrid>
        <w:gridCol w:w="980"/>
        <w:gridCol w:w="1840"/>
        <w:gridCol w:w="1740"/>
      </w:tblGrid>
      <w:tr w:rsidR="00634E8C" w:rsidRPr="00634E8C" w14:paraId="5DC3F375" w14:textId="77777777" w:rsidTr="00634E8C">
        <w:trPr>
          <w:trHeight w:val="290"/>
        </w:trPr>
        <w:tc>
          <w:tcPr>
            <w:tcW w:w="980" w:type="dxa"/>
            <w:tcBorders>
              <w:top w:val="single" w:sz="4" w:space="0" w:color="auto"/>
              <w:left w:val="single" w:sz="4" w:space="0" w:color="auto"/>
              <w:bottom w:val="single" w:sz="4" w:space="0" w:color="auto"/>
              <w:right w:val="single" w:sz="4" w:space="0" w:color="auto"/>
            </w:tcBorders>
            <w:noWrap/>
            <w:vAlign w:val="bottom"/>
            <w:hideMark/>
          </w:tcPr>
          <w:p w14:paraId="48447155" w14:textId="77777777" w:rsidR="00634E8C" w:rsidRPr="00634E8C" w:rsidRDefault="00634E8C" w:rsidP="00634E8C">
            <w:pPr>
              <w:spacing w:after="0" w:line="240" w:lineRule="auto"/>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Year</w:t>
            </w:r>
          </w:p>
        </w:tc>
        <w:tc>
          <w:tcPr>
            <w:tcW w:w="1840" w:type="dxa"/>
            <w:tcBorders>
              <w:top w:val="single" w:sz="4" w:space="0" w:color="auto"/>
              <w:left w:val="nil"/>
              <w:bottom w:val="single" w:sz="4" w:space="0" w:color="auto"/>
              <w:right w:val="single" w:sz="4" w:space="0" w:color="auto"/>
            </w:tcBorders>
            <w:noWrap/>
            <w:vAlign w:val="bottom"/>
            <w:hideMark/>
          </w:tcPr>
          <w:p w14:paraId="04BCA914" w14:textId="77777777" w:rsidR="00634E8C" w:rsidRPr="00634E8C" w:rsidRDefault="00634E8C" w:rsidP="00634E8C">
            <w:pPr>
              <w:spacing w:after="0" w:line="240" w:lineRule="auto"/>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Vegetative Plants</w:t>
            </w:r>
          </w:p>
        </w:tc>
        <w:tc>
          <w:tcPr>
            <w:tcW w:w="1740" w:type="dxa"/>
            <w:tcBorders>
              <w:top w:val="single" w:sz="4" w:space="0" w:color="auto"/>
              <w:left w:val="nil"/>
              <w:bottom w:val="single" w:sz="4" w:space="0" w:color="auto"/>
              <w:right w:val="single" w:sz="4" w:space="0" w:color="auto"/>
            </w:tcBorders>
            <w:noWrap/>
            <w:vAlign w:val="bottom"/>
            <w:hideMark/>
          </w:tcPr>
          <w:p w14:paraId="54AF224E" w14:textId="77777777" w:rsidR="00634E8C" w:rsidRPr="00634E8C" w:rsidRDefault="00634E8C" w:rsidP="00634E8C">
            <w:pPr>
              <w:spacing w:after="0" w:line="240" w:lineRule="auto"/>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Flowering Plants</w:t>
            </w:r>
          </w:p>
        </w:tc>
      </w:tr>
      <w:tr w:rsidR="00634E8C" w:rsidRPr="00634E8C" w14:paraId="1A5B51B7"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415FC9A3"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2014</w:t>
            </w:r>
          </w:p>
        </w:tc>
        <w:tc>
          <w:tcPr>
            <w:tcW w:w="1840" w:type="dxa"/>
            <w:tcBorders>
              <w:top w:val="nil"/>
              <w:left w:val="nil"/>
              <w:bottom w:val="single" w:sz="4" w:space="0" w:color="auto"/>
              <w:right w:val="single" w:sz="4" w:space="0" w:color="auto"/>
            </w:tcBorders>
            <w:noWrap/>
            <w:vAlign w:val="bottom"/>
            <w:hideMark/>
          </w:tcPr>
          <w:p w14:paraId="12C74EE7"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0</w:t>
            </w:r>
          </w:p>
        </w:tc>
        <w:tc>
          <w:tcPr>
            <w:tcW w:w="1740" w:type="dxa"/>
            <w:tcBorders>
              <w:top w:val="nil"/>
              <w:left w:val="nil"/>
              <w:bottom w:val="single" w:sz="4" w:space="0" w:color="auto"/>
              <w:right w:val="single" w:sz="4" w:space="0" w:color="auto"/>
            </w:tcBorders>
            <w:noWrap/>
            <w:vAlign w:val="bottom"/>
            <w:hideMark/>
          </w:tcPr>
          <w:p w14:paraId="032AC1D9"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0</w:t>
            </w:r>
          </w:p>
        </w:tc>
      </w:tr>
      <w:tr w:rsidR="00634E8C" w:rsidRPr="00634E8C" w14:paraId="1DE057FE"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3C5A8F95"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2015</w:t>
            </w:r>
          </w:p>
        </w:tc>
        <w:tc>
          <w:tcPr>
            <w:tcW w:w="1840" w:type="dxa"/>
            <w:tcBorders>
              <w:top w:val="nil"/>
              <w:left w:val="nil"/>
              <w:bottom w:val="single" w:sz="4" w:space="0" w:color="auto"/>
              <w:right w:val="single" w:sz="4" w:space="0" w:color="auto"/>
            </w:tcBorders>
            <w:noWrap/>
            <w:vAlign w:val="bottom"/>
            <w:hideMark/>
          </w:tcPr>
          <w:p w14:paraId="79431726"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w:t>
            </w:r>
          </w:p>
        </w:tc>
        <w:tc>
          <w:tcPr>
            <w:tcW w:w="1740" w:type="dxa"/>
            <w:tcBorders>
              <w:top w:val="nil"/>
              <w:left w:val="nil"/>
              <w:bottom w:val="single" w:sz="4" w:space="0" w:color="auto"/>
              <w:right w:val="single" w:sz="4" w:space="0" w:color="auto"/>
            </w:tcBorders>
            <w:noWrap/>
            <w:vAlign w:val="bottom"/>
            <w:hideMark/>
          </w:tcPr>
          <w:p w14:paraId="1DDC0CB6"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0</w:t>
            </w:r>
          </w:p>
        </w:tc>
      </w:tr>
      <w:tr w:rsidR="00634E8C" w:rsidRPr="00634E8C" w14:paraId="5A054399"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429C75C1"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2016</w:t>
            </w:r>
          </w:p>
        </w:tc>
        <w:tc>
          <w:tcPr>
            <w:tcW w:w="1840" w:type="dxa"/>
            <w:tcBorders>
              <w:top w:val="nil"/>
              <w:left w:val="nil"/>
              <w:bottom w:val="single" w:sz="4" w:space="0" w:color="auto"/>
              <w:right w:val="single" w:sz="4" w:space="0" w:color="auto"/>
            </w:tcBorders>
            <w:noWrap/>
            <w:vAlign w:val="bottom"/>
            <w:hideMark/>
          </w:tcPr>
          <w:p w14:paraId="075E35B9"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6</w:t>
            </w:r>
          </w:p>
        </w:tc>
        <w:tc>
          <w:tcPr>
            <w:tcW w:w="1740" w:type="dxa"/>
            <w:tcBorders>
              <w:top w:val="nil"/>
              <w:left w:val="nil"/>
              <w:bottom w:val="single" w:sz="4" w:space="0" w:color="auto"/>
              <w:right w:val="single" w:sz="4" w:space="0" w:color="auto"/>
            </w:tcBorders>
            <w:noWrap/>
            <w:vAlign w:val="bottom"/>
            <w:hideMark/>
          </w:tcPr>
          <w:p w14:paraId="443FAE0F"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w:t>
            </w:r>
          </w:p>
        </w:tc>
      </w:tr>
      <w:tr w:rsidR="00634E8C" w:rsidRPr="00634E8C" w14:paraId="35CD928D"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16FF2FBB"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2017</w:t>
            </w:r>
          </w:p>
        </w:tc>
        <w:tc>
          <w:tcPr>
            <w:tcW w:w="1840" w:type="dxa"/>
            <w:tcBorders>
              <w:top w:val="nil"/>
              <w:left w:val="nil"/>
              <w:bottom w:val="single" w:sz="4" w:space="0" w:color="auto"/>
              <w:right w:val="single" w:sz="4" w:space="0" w:color="auto"/>
            </w:tcBorders>
            <w:noWrap/>
            <w:vAlign w:val="bottom"/>
            <w:hideMark/>
          </w:tcPr>
          <w:p w14:paraId="56D6E908"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7</w:t>
            </w:r>
          </w:p>
        </w:tc>
        <w:tc>
          <w:tcPr>
            <w:tcW w:w="1740" w:type="dxa"/>
            <w:tcBorders>
              <w:top w:val="nil"/>
              <w:left w:val="nil"/>
              <w:bottom w:val="single" w:sz="4" w:space="0" w:color="auto"/>
              <w:right w:val="single" w:sz="4" w:space="0" w:color="auto"/>
            </w:tcBorders>
            <w:noWrap/>
            <w:vAlign w:val="bottom"/>
            <w:hideMark/>
          </w:tcPr>
          <w:p w14:paraId="0DB6B86B"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12</w:t>
            </w:r>
          </w:p>
        </w:tc>
      </w:tr>
      <w:tr w:rsidR="00634E8C" w:rsidRPr="00634E8C" w14:paraId="34660981"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2A7BEF1C"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2018</w:t>
            </w:r>
          </w:p>
        </w:tc>
        <w:tc>
          <w:tcPr>
            <w:tcW w:w="1840" w:type="dxa"/>
            <w:tcBorders>
              <w:top w:val="nil"/>
              <w:left w:val="nil"/>
              <w:bottom w:val="single" w:sz="4" w:space="0" w:color="auto"/>
              <w:right w:val="single" w:sz="4" w:space="0" w:color="auto"/>
            </w:tcBorders>
            <w:noWrap/>
            <w:vAlign w:val="bottom"/>
            <w:hideMark/>
          </w:tcPr>
          <w:p w14:paraId="6F90CE60"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5</w:t>
            </w:r>
          </w:p>
        </w:tc>
        <w:tc>
          <w:tcPr>
            <w:tcW w:w="1740" w:type="dxa"/>
            <w:tcBorders>
              <w:top w:val="nil"/>
              <w:left w:val="nil"/>
              <w:bottom w:val="single" w:sz="4" w:space="0" w:color="auto"/>
              <w:right w:val="single" w:sz="4" w:space="0" w:color="auto"/>
            </w:tcBorders>
            <w:noWrap/>
            <w:vAlign w:val="bottom"/>
            <w:hideMark/>
          </w:tcPr>
          <w:p w14:paraId="214A2479"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17</w:t>
            </w:r>
          </w:p>
        </w:tc>
      </w:tr>
      <w:tr w:rsidR="00634E8C" w:rsidRPr="00634E8C" w14:paraId="4ABB9D40"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498761A5"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lastRenderedPageBreak/>
              <w:t>2019</w:t>
            </w:r>
          </w:p>
        </w:tc>
        <w:tc>
          <w:tcPr>
            <w:tcW w:w="1840" w:type="dxa"/>
            <w:tcBorders>
              <w:top w:val="nil"/>
              <w:left w:val="nil"/>
              <w:bottom w:val="single" w:sz="4" w:space="0" w:color="auto"/>
              <w:right w:val="single" w:sz="4" w:space="0" w:color="auto"/>
            </w:tcBorders>
            <w:noWrap/>
            <w:vAlign w:val="bottom"/>
            <w:hideMark/>
          </w:tcPr>
          <w:p w14:paraId="69B9D13A"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16</w:t>
            </w:r>
          </w:p>
        </w:tc>
        <w:tc>
          <w:tcPr>
            <w:tcW w:w="1740" w:type="dxa"/>
            <w:tcBorders>
              <w:top w:val="nil"/>
              <w:left w:val="nil"/>
              <w:bottom w:val="single" w:sz="4" w:space="0" w:color="auto"/>
              <w:right w:val="single" w:sz="4" w:space="0" w:color="auto"/>
            </w:tcBorders>
            <w:noWrap/>
            <w:vAlign w:val="bottom"/>
            <w:hideMark/>
          </w:tcPr>
          <w:p w14:paraId="189C998E"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46</w:t>
            </w:r>
          </w:p>
        </w:tc>
      </w:tr>
      <w:tr w:rsidR="00634E8C" w:rsidRPr="00634E8C" w14:paraId="32FF6CB4"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1A8C70BA"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2020</w:t>
            </w:r>
          </w:p>
        </w:tc>
        <w:tc>
          <w:tcPr>
            <w:tcW w:w="1840" w:type="dxa"/>
            <w:tcBorders>
              <w:top w:val="nil"/>
              <w:left w:val="nil"/>
              <w:bottom w:val="single" w:sz="4" w:space="0" w:color="auto"/>
              <w:right w:val="single" w:sz="4" w:space="0" w:color="auto"/>
            </w:tcBorders>
            <w:noWrap/>
            <w:vAlign w:val="bottom"/>
            <w:hideMark/>
          </w:tcPr>
          <w:p w14:paraId="18CD4632"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56</w:t>
            </w:r>
          </w:p>
        </w:tc>
        <w:tc>
          <w:tcPr>
            <w:tcW w:w="1740" w:type="dxa"/>
            <w:tcBorders>
              <w:top w:val="nil"/>
              <w:left w:val="nil"/>
              <w:bottom w:val="single" w:sz="4" w:space="0" w:color="auto"/>
              <w:right w:val="single" w:sz="4" w:space="0" w:color="auto"/>
            </w:tcBorders>
            <w:noWrap/>
            <w:vAlign w:val="bottom"/>
            <w:hideMark/>
          </w:tcPr>
          <w:p w14:paraId="160AAF9A"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w:t>
            </w:r>
          </w:p>
        </w:tc>
      </w:tr>
      <w:tr w:rsidR="00634E8C" w:rsidRPr="00634E8C" w14:paraId="74FBDAE7"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0BFA135B"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2021</w:t>
            </w:r>
          </w:p>
        </w:tc>
        <w:tc>
          <w:tcPr>
            <w:tcW w:w="1840" w:type="dxa"/>
            <w:tcBorders>
              <w:top w:val="nil"/>
              <w:left w:val="nil"/>
              <w:bottom w:val="single" w:sz="4" w:space="0" w:color="auto"/>
              <w:right w:val="single" w:sz="4" w:space="0" w:color="auto"/>
            </w:tcBorders>
            <w:noWrap/>
            <w:vAlign w:val="bottom"/>
            <w:hideMark/>
          </w:tcPr>
          <w:p w14:paraId="13C534FF"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24</w:t>
            </w:r>
          </w:p>
        </w:tc>
        <w:tc>
          <w:tcPr>
            <w:tcW w:w="1740" w:type="dxa"/>
            <w:tcBorders>
              <w:top w:val="nil"/>
              <w:left w:val="nil"/>
              <w:bottom w:val="single" w:sz="4" w:space="0" w:color="auto"/>
              <w:right w:val="single" w:sz="4" w:space="0" w:color="auto"/>
            </w:tcBorders>
            <w:noWrap/>
            <w:vAlign w:val="bottom"/>
            <w:hideMark/>
          </w:tcPr>
          <w:p w14:paraId="0F8ED130"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156</w:t>
            </w:r>
          </w:p>
        </w:tc>
      </w:tr>
      <w:tr w:rsidR="00634E8C" w:rsidRPr="00634E8C" w14:paraId="0D947CBF"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7D09C028"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2022</w:t>
            </w:r>
          </w:p>
        </w:tc>
        <w:tc>
          <w:tcPr>
            <w:tcW w:w="1840" w:type="dxa"/>
            <w:tcBorders>
              <w:top w:val="nil"/>
              <w:left w:val="nil"/>
              <w:bottom w:val="single" w:sz="4" w:space="0" w:color="auto"/>
              <w:right w:val="single" w:sz="4" w:space="0" w:color="auto"/>
            </w:tcBorders>
            <w:noWrap/>
            <w:vAlign w:val="bottom"/>
            <w:hideMark/>
          </w:tcPr>
          <w:p w14:paraId="7A1DC2A0"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w:t>
            </w:r>
          </w:p>
        </w:tc>
        <w:tc>
          <w:tcPr>
            <w:tcW w:w="1740" w:type="dxa"/>
            <w:tcBorders>
              <w:top w:val="nil"/>
              <w:left w:val="nil"/>
              <w:bottom w:val="single" w:sz="4" w:space="0" w:color="auto"/>
              <w:right w:val="single" w:sz="4" w:space="0" w:color="auto"/>
            </w:tcBorders>
            <w:noWrap/>
            <w:vAlign w:val="bottom"/>
            <w:hideMark/>
          </w:tcPr>
          <w:p w14:paraId="62C07D51"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w:t>
            </w:r>
          </w:p>
        </w:tc>
      </w:tr>
      <w:tr w:rsidR="00634E8C" w:rsidRPr="00634E8C" w14:paraId="7A9D8AE9"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14826995"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2023</w:t>
            </w:r>
          </w:p>
        </w:tc>
        <w:tc>
          <w:tcPr>
            <w:tcW w:w="1840" w:type="dxa"/>
            <w:tcBorders>
              <w:top w:val="nil"/>
              <w:left w:val="nil"/>
              <w:bottom w:val="single" w:sz="4" w:space="0" w:color="auto"/>
              <w:right w:val="single" w:sz="4" w:space="0" w:color="auto"/>
            </w:tcBorders>
            <w:noWrap/>
            <w:vAlign w:val="bottom"/>
            <w:hideMark/>
          </w:tcPr>
          <w:p w14:paraId="6A192376"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235</w:t>
            </w:r>
          </w:p>
        </w:tc>
        <w:tc>
          <w:tcPr>
            <w:tcW w:w="1740" w:type="dxa"/>
            <w:tcBorders>
              <w:top w:val="nil"/>
              <w:left w:val="nil"/>
              <w:bottom w:val="single" w:sz="4" w:space="0" w:color="auto"/>
              <w:right w:val="single" w:sz="4" w:space="0" w:color="auto"/>
            </w:tcBorders>
            <w:noWrap/>
            <w:vAlign w:val="bottom"/>
            <w:hideMark/>
          </w:tcPr>
          <w:p w14:paraId="617257C2"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39</w:t>
            </w:r>
          </w:p>
        </w:tc>
      </w:tr>
      <w:tr w:rsidR="00634E8C" w:rsidRPr="00634E8C" w14:paraId="61B69451"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08E6F9E5"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2024</w:t>
            </w:r>
          </w:p>
        </w:tc>
        <w:tc>
          <w:tcPr>
            <w:tcW w:w="1840" w:type="dxa"/>
            <w:tcBorders>
              <w:top w:val="nil"/>
              <w:left w:val="nil"/>
              <w:bottom w:val="single" w:sz="4" w:space="0" w:color="auto"/>
              <w:right w:val="single" w:sz="4" w:space="0" w:color="auto"/>
            </w:tcBorders>
            <w:noWrap/>
            <w:vAlign w:val="bottom"/>
            <w:hideMark/>
          </w:tcPr>
          <w:p w14:paraId="200D7360"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116</w:t>
            </w:r>
          </w:p>
        </w:tc>
        <w:tc>
          <w:tcPr>
            <w:tcW w:w="1740" w:type="dxa"/>
            <w:tcBorders>
              <w:top w:val="nil"/>
              <w:left w:val="nil"/>
              <w:bottom w:val="single" w:sz="4" w:space="0" w:color="auto"/>
              <w:right w:val="single" w:sz="4" w:space="0" w:color="auto"/>
            </w:tcBorders>
            <w:noWrap/>
            <w:vAlign w:val="bottom"/>
            <w:hideMark/>
          </w:tcPr>
          <w:p w14:paraId="3F0FF1A8"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16</w:t>
            </w:r>
          </w:p>
        </w:tc>
      </w:tr>
      <w:tr w:rsidR="00634E8C" w:rsidRPr="00634E8C" w14:paraId="5706CCF8" w14:textId="77777777" w:rsidTr="00634E8C">
        <w:trPr>
          <w:trHeight w:val="290"/>
        </w:trPr>
        <w:tc>
          <w:tcPr>
            <w:tcW w:w="980" w:type="dxa"/>
            <w:tcBorders>
              <w:top w:val="nil"/>
              <w:left w:val="single" w:sz="4" w:space="0" w:color="auto"/>
              <w:bottom w:val="single" w:sz="4" w:space="0" w:color="auto"/>
              <w:right w:val="single" w:sz="4" w:space="0" w:color="auto"/>
            </w:tcBorders>
            <w:noWrap/>
            <w:vAlign w:val="bottom"/>
            <w:hideMark/>
          </w:tcPr>
          <w:p w14:paraId="3464E2E9"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2025</w:t>
            </w:r>
          </w:p>
        </w:tc>
        <w:tc>
          <w:tcPr>
            <w:tcW w:w="1840" w:type="dxa"/>
            <w:tcBorders>
              <w:top w:val="nil"/>
              <w:left w:val="nil"/>
              <w:bottom w:val="single" w:sz="4" w:space="0" w:color="auto"/>
              <w:right w:val="single" w:sz="4" w:space="0" w:color="auto"/>
            </w:tcBorders>
            <w:noWrap/>
            <w:vAlign w:val="bottom"/>
            <w:hideMark/>
          </w:tcPr>
          <w:p w14:paraId="1D61C54F"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238</w:t>
            </w:r>
          </w:p>
        </w:tc>
        <w:tc>
          <w:tcPr>
            <w:tcW w:w="1740" w:type="dxa"/>
            <w:tcBorders>
              <w:top w:val="nil"/>
              <w:left w:val="nil"/>
              <w:bottom w:val="single" w:sz="4" w:space="0" w:color="auto"/>
              <w:right w:val="single" w:sz="4" w:space="0" w:color="auto"/>
            </w:tcBorders>
            <w:noWrap/>
            <w:vAlign w:val="bottom"/>
            <w:hideMark/>
          </w:tcPr>
          <w:p w14:paraId="4ADB382C" w14:textId="77777777" w:rsidR="00634E8C" w:rsidRPr="00634E8C" w:rsidRDefault="00634E8C" w:rsidP="00634E8C">
            <w:pPr>
              <w:spacing w:after="0" w:line="240" w:lineRule="auto"/>
              <w:jc w:val="right"/>
              <w:rPr>
                <w:rFonts w:ascii="Calibri" w:eastAsia="Times New Roman" w:hAnsi="Calibri" w:cs="Calibri"/>
                <w:color w:val="000000"/>
                <w:kern w:val="0"/>
                <w:sz w:val="22"/>
                <w:szCs w:val="22"/>
                <w14:ligatures w14:val="none"/>
              </w:rPr>
            </w:pPr>
            <w:r w:rsidRPr="00634E8C">
              <w:rPr>
                <w:rFonts w:ascii="Calibri" w:eastAsia="Times New Roman" w:hAnsi="Calibri" w:cs="Calibri"/>
                <w:color w:val="000000"/>
                <w:kern w:val="0"/>
                <w:sz w:val="22"/>
                <w:szCs w:val="22"/>
                <w14:ligatures w14:val="none"/>
              </w:rPr>
              <w:t>29</w:t>
            </w:r>
          </w:p>
        </w:tc>
      </w:tr>
    </w:tbl>
    <w:p w14:paraId="7DA39810" w14:textId="77777777" w:rsidR="00634E8C" w:rsidRPr="00CD55C4" w:rsidRDefault="00634E8C" w:rsidP="00CD55C4"/>
    <w:p w14:paraId="4D58FC40" w14:textId="779BD7DB" w:rsidR="00CD55C4" w:rsidRDefault="00CD55C4">
      <w:r w:rsidRPr="00CD55C4">
        <w:t xml:space="preserve">the jessamine co pop was introduced from an ex situ seed generated source. </w:t>
      </w:r>
      <w:proofErr w:type="gramStart"/>
      <w:r w:rsidRPr="00CD55C4">
        <w:t>so</w:t>
      </w:r>
      <w:proofErr w:type="gramEnd"/>
      <w:r w:rsidRPr="00CD55C4">
        <w:t xml:space="preserve"> there are both types, seed </w:t>
      </w:r>
      <w:r>
        <w:t>directly moved from donor to recipient site</w:t>
      </w:r>
      <w:r w:rsidRPr="00CD55C4">
        <w:t xml:space="preserve"> and ex situ mixed genotypes added</w:t>
      </w:r>
      <w:r>
        <w:t xml:space="preserve"> to recipient site</w:t>
      </w:r>
    </w:p>
    <w:p w14:paraId="5D6A031F" w14:textId="77777777" w:rsidR="00B2718B" w:rsidRDefault="00B2718B"/>
    <w:p w14:paraId="665F6B16" w14:textId="77777777" w:rsidR="00B2718B" w:rsidRDefault="00B2718B"/>
    <w:p w14:paraId="7DE24C01" w14:textId="659A832E" w:rsidR="00B2718B" w:rsidRDefault="00B2718B">
      <w:r>
        <w:t xml:space="preserve">it might be worth linking genetic diversity with population size/rank.  It seems obvious that small pops with less than 50 individuals will exhibit inbreeding or lower genetic diversity than populations that are larger, </w:t>
      </w:r>
      <w:proofErr w:type="spellStart"/>
      <w:r>
        <w:t>eo</w:t>
      </w:r>
      <w:proofErr w:type="spellEnd"/>
      <w:r>
        <w:t xml:space="preserve"> ranks are available for all of these populations in this genetic study….</w:t>
      </w:r>
    </w:p>
    <w:sectPr w:rsidR="00B271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6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5C4"/>
    <w:rsid w:val="00070E01"/>
    <w:rsid w:val="000E123A"/>
    <w:rsid w:val="001C3B4A"/>
    <w:rsid w:val="001C7C0B"/>
    <w:rsid w:val="00203E16"/>
    <w:rsid w:val="002055AC"/>
    <w:rsid w:val="002B47FF"/>
    <w:rsid w:val="004C2277"/>
    <w:rsid w:val="004F3C69"/>
    <w:rsid w:val="00544883"/>
    <w:rsid w:val="00634E8C"/>
    <w:rsid w:val="00651FC7"/>
    <w:rsid w:val="0068744F"/>
    <w:rsid w:val="006D4521"/>
    <w:rsid w:val="00847ED5"/>
    <w:rsid w:val="0095035F"/>
    <w:rsid w:val="0095089F"/>
    <w:rsid w:val="00A53A32"/>
    <w:rsid w:val="00A94105"/>
    <w:rsid w:val="00A975DF"/>
    <w:rsid w:val="00B14CB9"/>
    <w:rsid w:val="00B2718B"/>
    <w:rsid w:val="00CC3C37"/>
    <w:rsid w:val="00CD55C4"/>
    <w:rsid w:val="00F51450"/>
    <w:rsid w:val="00FD739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AD29E"/>
  <w15:chartTrackingRefBased/>
  <w15:docId w15:val="{5DC84807-0545-4DF6-9D99-802CE6D3A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5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55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5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5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5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5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5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5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5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5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55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5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5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5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5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5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5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5C4"/>
    <w:rPr>
      <w:rFonts w:eastAsiaTheme="majorEastAsia" w:cstheme="majorBidi"/>
      <w:color w:val="272727" w:themeColor="text1" w:themeTint="D8"/>
    </w:rPr>
  </w:style>
  <w:style w:type="paragraph" w:styleId="Title">
    <w:name w:val="Title"/>
    <w:basedOn w:val="Normal"/>
    <w:next w:val="Normal"/>
    <w:link w:val="TitleChar"/>
    <w:uiPriority w:val="10"/>
    <w:qFormat/>
    <w:rsid w:val="00CD55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5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5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5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5C4"/>
    <w:pPr>
      <w:spacing w:before="160"/>
      <w:jc w:val="center"/>
    </w:pPr>
    <w:rPr>
      <w:i/>
      <w:iCs/>
      <w:color w:val="404040" w:themeColor="text1" w:themeTint="BF"/>
    </w:rPr>
  </w:style>
  <w:style w:type="character" w:customStyle="1" w:styleId="QuoteChar">
    <w:name w:val="Quote Char"/>
    <w:basedOn w:val="DefaultParagraphFont"/>
    <w:link w:val="Quote"/>
    <w:uiPriority w:val="29"/>
    <w:rsid w:val="00CD55C4"/>
    <w:rPr>
      <w:i/>
      <w:iCs/>
      <w:color w:val="404040" w:themeColor="text1" w:themeTint="BF"/>
    </w:rPr>
  </w:style>
  <w:style w:type="paragraph" w:styleId="ListParagraph">
    <w:name w:val="List Paragraph"/>
    <w:basedOn w:val="Normal"/>
    <w:uiPriority w:val="34"/>
    <w:qFormat/>
    <w:rsid w:val="00CD55C4"/>
    <w:pPr>
      <w:ind w:left="720"/>
      <w:contextualSpacing/>
    </w:pPr>
  </w:style>
  <w:style w:type="character" w:styleId="IntenseEmphasis">
    <w:name w:val="Intense Emphasis"/>
    <w:basedOn w:val="DefaultParagraphFont"/>
    <w:uiPriority w:val="21"/>
    <w:qFormat/>
    <w:rsid w:val="00CD55C4"/>
    <w:rPr>
      <w:i/>
      <w:iCs/>
      <w:color w:val="0F4761" w:themeColor="accent1" w:themeShade="BF"/>
    </w:rPr>
  </w:style>
  <w:style w:type="paragraph" w:styleId="IntenseQuote">
    <w:name w:val="Intense Quote"/>
    <w:basedOn w:val="Normal"/>
    <w:next w:val="Normal"/>
    <w:link w:val="IntenseQuoteChar"/>
    <w:uiPriority w:val="30"/>
    <w:qFormat/>
    <w:rsid w:val="00CD5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5C4"/>
    <w:rPr>
      <w:i/>
      <w:iCs/>
      <w:color w:val="0F4761" w:themeColor="accent1" w:themeShade="BF"/>
    </w:rPr>
  </w:style>
  <w:style w:type="character" w:styleId="IntenseReference">
    <w:name w:val="Intense Reference"/>
    <w:basedOn w:val="DefaultParagraphFont"/>
    <w:uiPriority w:val="32"/>
    <w:qFormat/>
    <w:rsid w:val="00CD55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58006431">
      <w:bodyDiv w:val="1"/>
      <w:marLeft w:val="0"/>
      <w:marRight w:val="0"/>
      <w:marTop w:val="0"/>
      <w:marBottom w:val="0"/>
      <w:divBdr>
        <w:top w:val="none" w:sz="0" w:space="0" w:color="auto"/>
        <w:left w:val="none" w:sz="0" w:space="0" w:color="auto"/>
        <w:bottom w:val="none" w:sz="0" w:space="0" w:color="auto"/>
        <w:right w:val="none" w:sz="0" w:space="0" w:color="auto"/>
      </w:divBdr>
    </w:div>
    <w:div w:id="1045569949">
      <w:bodyDiv w:val="1"/>
      <w:marLeft w:val="0"/>
      <w:marRight w:val="0"/>
      <w:marTop w:val="0"/>
      <w:marBottom w:val="0"/>
      <w:divBdr>
        <w:top w:val="none" w:sz="0" w:space="0" w:color="auto"/>
        <w:left w:val="none" w:sz="0" w:space="0" w:color="auto"/>
        <w:bottom w:val="none" w:sz="0" w:space="0" w:color="auto"/>
        <w:right w:val="none" w:sz="0" w:space="0" w:color="auto"/>
      </w:divBdr>
    </w:div>
    <w:div w:id="188987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d1cc8434-691a-4797-83e1-dcc9726b69c0" xsi:nil="true"/>
    <_ip_UnifiedCompliancePolicyProperties xmlns="http://schemas.microsoft.com/sharepoint/v3" xsi:nil="true"/>
    <lcf76f155ced4ddcb4097134ff3c332f xmlns="2a80cc35-9f79-4cbf-a8b4-f259617c00c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0E407455DB15F429C332EFB2CC833B9" ma:contentTypeVersion="16" ma:contentTypeDescription="Create a new document." ma:contentTypeScope="" ma:versionID="e65bdc10a34b5d85422609d792258cee">
  <xsd:schema xmlns:xsd="http://www.w3.org/2001/XMLSchema" xmlns:xs="http://www.w3.org/2001/XMLSchema" xmlns:p="http://schemas.microsoft.com/office/2006/metadata/properties" xmlns:ns1="http://schemas.microsoft.com/sharepoint/v3" xmlns:ns2="2a80cc35-9f79-4cbf-a8b4-f259617c00c0" xmlns:ns3="d1cc8434-691a-4797-83e1-dcc9726b69c0" targetNamespace="http://schemas.microsoft.com/office/2006/metadata/properties" ma:root="true" ma:fieldsID="75b3dfc4fdab91ba3b608edf94d3e15e" ns1:_="" ns2:_="" ns3:_="">
    <xsd:import namespace="http://schemas.microsoft.com/sharepoint/v3"/>
    <xsd:import namespace="2a80cc35-9f79-4cbf-a8b4-f259617c00c0"/>
    <xsd:import namespace="d1cc8434-691a-4797-83e1-dcc9726b69c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SearchPropertie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80cc35-9f79-4cbf-a8b4-f259617c0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cc9126c-bc3a-44e7-9800-71a1afaec9f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1cc8434-691a-4797-83e1-dcc9726b69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4487c7b-6dc2-4983-930d-4f5e3c3dead6}" ma:internalName="TaxCatchAll" ma:showField="CatchAllData" ma:web="d1cc8434-691a-4797-83e1-dcc9726b69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00C7621-B1D7-4402-900D-7287A4D42C88}">
  <ds:schemaRefs>
    <ds:schemaRef ds:uri="http://schemas.microsoft.com/office/2006/metadata/properties"/>
    <ds:schemaRef ds:uri="http://schemas.microsoft.com/office/infopath/2007/PartnerControls"/>
    <ds:schemaRef ds:uri="http://schemas.microsoft.com/sharepoint/v3"/>
    <ds:schemaRef ds:uri="d1cc8434-691a-4797-83e1-dcc9726b69c0"/>
    <ds:schemaRef ds:uri="2a80cc35-9f79-4cbf-a8b4-f259617c00c0"/>
  </ds:schemaRefs>
</ds:datastoreItem>
</file>

<file path=customXml/itemProps2.xml><?xml version="1.0" encoding="utf-8"?>
<ds:datastoreItem xmlns:ds="http://schemas.openxmlformats.org/officeDocument/2006/customXml" ds:itemID="{250363A8-E43B-468E-B4AF-7563CA5B2627}">
  <ds:schemaRefs>
    <ds:schemaRef ds:uri="http://schemas.microsoft.com/sharepoint/v3/contenttype/forms"/>
  </ds:schemaRefs>
</ds:datastoreItem>
</file>

<file path=customXml/itemProps3.xml><?xml version="1.0" encoding="utf-8"?>
<ds:datastoreItem xmlns:ds="http://schemas.openxmlformats.org/officeDocument/2006/customXml" ds:itemID="{41D21C12-8D0C-424E-9A2A-0AD26D628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a80cc35-9f79-4cbf-a8b4-f259617c00c0"/>
    <ds:schemaRef ds:uri="d1cc8434-691a-4797-83e1-dcc9726b69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8934224-16a4-41c6-83d8-0f8d54723883}" enabled="0" method="" siteId="{58934224-16a4-41c6-83d8-0f8d54723883}" removed="1"/>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428</Words>
  <Characters>2442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Commonwealth of Technology</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Littlefield, Tara R (EEC)</dc:creator>
  <cp:keywords/>
  <dc:description/>
  <cp:lastModifiedBy>Kuo, Wen-Hsi</cp:lastModifiedBy>
  <cp:revision>5</cp:revision>
  <dcterms:created xsi:type="dcterms:W3CDTF">2026-06-29T20:43:00Z</dcterms:created>
  <dcterms:modified xsi:type="dcterms:W3CDTF">2026-07-09T20:42:00Z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0x01010040E407455DB15F429C332EFB2CC833B9</vt:lpwstr>
  </property>
  <property fmtid="{D5CDD505-2E9C-101B-9397-08002B2CF9AE}" pid="3" name="MediaServiceImageTags">
    <vt:lpwstr/>
  </property>
</Properties>
</file>