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F0F4F8"/>
            <w:tcMar>
              <w:top w:w="200" w:type="dxa"/>
              <w:bottom w:w="200" w:type="dxa"/>
              <w:left w:w="240" w:type="dxa"/>
              <w:right w:w="240" w:type="dxa"/>
            </w:tcMar>
          </w:tcPr>
          <w:p>
            <w:pPr>
              <w:jc w:val="center"/>
            </w:pPr>
            <w:r>
              <w:rPr>
                <w:b/>
                <w:color w:val="2B6CB0"/>
                <w:sz w:val="19"/>
              </w:rPr>
              <w:t>COURSEWORK PROJECT DELIVERABLE | TASK 1</w:t>
              <w:br/>
            </w:r>
            <w:r>
              <w:rPr>
                <w:b/>
                <w:color w:val="1B365D"/>
                <w:sz w:val="34"/>
              </w:rPr>
              <w:t>Week 2 Project Task 1: Literature Survey and Requirement Analysis</w:t>
              <w:br/>
            </w:r>
            <w:r>
              <w:rPr>
                <w:i/>
                <w:color w:val="2D3748"/>
                <w:sz w:val="24"/>
              </w:rPr>
              <w:t>Knowledge Distillation for Citation-Intent Classification: Accuracy–Efficiency Trade-offs and Robustness Preservation</w:t>
              <w:br/>
              <w:br/>
            </w:r>
          </w:p>
          <w:p>
            <w:pPr>
              <w:spacing w:after="0"/>
              <w:jc w:val="center"/>
            </w:pPr>
            <w:r>
              <w:rPr>
                <w:color w:val="718096"/>
                <w:sz w:val="19"/>
              </w:rPr>
              <w:t>Course: CAIML_Satheesha_2_PS_114   |   Faculty / Mentor: Dr. T.Y. Satheesha</w:t>
              <w:br/>
              <w:t>Benchmark: SciCite (8,194 citations)   |   Reference Teacher: SciBERT   |   Target Students: DistilBERT, BERT-Mini, BERT-Tiny</w:t>
            </w:r>
          </w:p>
        </w:tc>
      </w:tr>
    </w:tbl>
    <w:p>
      <w:pPr>
        <w:spacing w:after="240"/>
      </w:pPr>
    </w:p>
    <w:p>
      <w:pPr>
        <w:keepNext/>
        <w:spacing w:before="360" w:after="120"/>
      </w:pPr>
      <w:r>
        <w:rPr>
          <w:rFonts w:ascii="Calibri" w:hAnsi="Calibri"/>
          <w:b/>
          <w:color w:val="1B365D"/>
          <w:sz w:val="30"/>
        </w:rPr>
        <w:t>1. Executive Summary &amp; Purpose</w:t>
      </w:r>
    </w:p>
    <w:p>
      <w:r>
        <w:t>This document fulfills the requirements of Week 2 Project Task 1 for the project 'Knowledge Distillation for Citation-Intent Classification: Accuracy–Efficiency Trade-offs and Robustness Preservation'. The objective of this assignment is to conduct a systematic literature survey across the five fundamental pillars supporting the project, critically evaluate existing strengths and limitations, formulate the consolidated research gap, and establish a formal requirements specification directly mapped to the project's three modular engineering stages.</w:t>
      </w:r>
    </w:p>
    <w:p>
      <w:pPr>
        <w:keepNext/>
        <w:spacing w:before="360" w:after="120"/>
      </w:pPr>
      <w:r>
        <w:rPr>
          <w:rFonts w:ascii="Calibri" w:hAnsi="Calibri"/>
          <w:b/>
          <w:color w:val="1B365D"/>
          <w:sz w:val="30"/>
        </w:rPr>
        <w:t>2. Literature Survey Grouped by Theme</w:t>
      </w:r>
    </w:p>
    <w:p>
      <w:r>
        <w:t>A rigorous review of 11 landmark research papers across 5 core research themes is detailed below. For each paper, the existing methodology, its analytical or architectural limitations, and an explicit one-line gap statement are provided.</w:t>
      </w:r>
    </w:p>
    <w:p>
      <w:pPr>
        <w:keepNext/>
        <w:spacing w:before="240" w:after="80"/>
      </w:pPr>
      <w:r>
        <w:rPr>
          <w:rFonts w:ascii="Calibri" w:hAnsi="Calibri"/>
          <w:b/>
          <w:color w:val="2B6CB0"/>
          <w:sz w:val="25"/>
        </w:rPr>
        <w:t>Theme 1: Knowledge Distillation Foundations &amp; Soft-Label 'Dark Knowledge'</w:t>
      </w:r>
    </w:p>
    <w:p>
      <w:pPr>
        <w:keepNext/>
        <w:spacing w:before="160" w:after="40"/>
      </w:pPr>
      <w:r>
        <w:rPr>
          <w:rFonts w:ascii="Calibri" w:hAnsi="Calibri"/>
          <w:b/>
          <w:color w:val="2D3748"/>
          <w:sz w:val="22"/>
        </w:rPr>
        <w:t>1. Hinton, G., Vinyals, O., &amp; Dean, J. (2015). 'Distilling the Knowledge in a Neural Network' (arXiv:1503.02531 / NIPS Deep Learning Workshop)</w:t>
      </w:r>
    </w:p>
    <w:p>
      <w:pPr>
        <w:spacing w:after="60"/>
        <w:ind w:left="288"/>
      </w:pPr>
      <w:r>
        <w:rPr>
          <w:b/>
        </w:rPr>
        <w:t xml:space="preserve">• What Exists: </w:t>
      </w:r>
      <w:r>
        <w:t>Formulated modern Knowledge Distillation (KD) where dark knowledge—the rich inter-class similarity structure residing in non-target class probabilities—is transferred from a cumbersomely trained teacher to a compact student via temperature-scaled softmax output matching using Kullback-Leibler (KL) divergence.</w:t>
      </w:r>
    </w:p>
    <w:p>
      <w:pPr>
        <w:spacing w:after="60"/>
        <w:ind w:left="288"/>
      </w:pPr>
      <w:r>
        <w:rPr>
          <w:b/>
        </w:rPr>
        <w:t xml:space="preserve">• Where It Falls Short: </w:t>
      </w:r>
      <w:r>
        <w:t>Demonstrated primarily on MNIST digits, CIFAR computer vision benchmarks, and acoustic speech models using standard multi-layer perceptrons. It did not explore contextual transformer architectures, domain-specific text vocabularies, or severe class imbalance.</w:t>
      </w:r>
    </w:p>
    <w:p>
      <w:pPr>
        <w:spacing w:after="160"/>
        <w:ind w:left="288"/>
      </w:pPr>
      <w:r>
        <w:rPr>
          <w:b/>
          <w:color w:val="2B6CB0"/>
        </w:rPr>
        <w:t xml:space="preserve">• One-Line Statement of Gap: </w:t>
      </w:r>
      <w:r>
        <w:rPr>
          <w:i/>
        </w:rPr>
        <w:t>Evaluates distillation primarily on balanced vision/speech classification using homogeneous architectures without measuring tail-class semantic preservation under heavy class imbalance.</w:t>
      </w:r>
    </w:p>
    <w:p>
      <w:pPr>
        <w:keepNext/>
        <w:spacing w:before="160" w:after="40"/>
      </w:pPr>
      <w:r>
        <w:rPr>
          <w:rFonts w:ascii="Calibri" w:hAnsi="Calibri"/>
          <w:b/>
          <w:color w:val="2D3748"/>
          <w:sz w:val="22"/>
        </w:rPr>
        <w:t>2. Ba, J., &amp; Caruana, R. (2014). 'Do Deep Nets Really Need to Be Deep?' (Advances in Neural Information Processing Systems (NeurIPS 2014))</w:t>
      </w:r>
    </w:p>
    <w:p>
      <w:pPr>
        <w:spacing w:after="60"/>
        <w:ind w:left="288"/>
      </w:pPr>
      <w:r>
        <w:rPr>
          <w:b/>
        </w:rPr>
        <w:t xml:space="preserve">• What Exists: </w:t>
      </w:r>
      <w:r>
        <w:t>Demonstrated that shallow feedforward neural networks can approximate the complex functions learned by deep ensembles when trained to directly match pre-softmax logits using mean squared error (L2 loss).</w:t>
      </w:r>
    </w:p>
    <w:p>
      <w:pPr>
        <w:spacing w:after="60"/>
        <w:ind w:left="288"/>
      </w:pPr>
      <w:r>
        <w:rPr>
          <w:b/>
        </w:rPr>
        <w:t xml:space="preserve">• Where It Falls Short: </w:t>
      </w:r>
      <w:r>
        <w:t>Relies strictly on continuous regression of linear logits in shallow models on tabular/phoneme datasets, leaving unaddressed how multi-head self-attention mechanisms and hierarchical contextual representations in specialized language models compress into compact students.</w:t>
      </w:r>
    </w:p>
    <w:p>
      <w:pPr>
        <w:spacing w:after="160"/>
        <w:ind w:left="288"/>
      </w:pPr>
      <w:r>
        <w:rPr>
          <w:b/>
          <w:color w:val="2B6CB0"/>
        </w:rPr>
        <w:t xml:space="preserve">• One-Line Statement of Gap: </w:t>
      </w:r>
      <w:r>
        <w:rPr>
          <w:i/>
        </w:rPr>
        <w:t>Proves logit-mimicking feasibility only for shallow networks on tabular/phoneme data without addressing contextual representation learning or multi-head attention compression.</w:t>
      </w:r>
    </w:p>
    <w:p>
      <w:pPr>
        <w:keepNext/>
        <w:spacing w:before="240" w:after="80"/>
      </w:pPr>
      <w:r>
        <w:rPr>
          <w:rFonts w:ascii="Calibri" w:hAnsi="Calibri"/>
          <w:b/>
          <w:color w:val="2B6CB0"/>
          <w:sz w:val="25"/>
        </w:rPr>
        <w:t>Theme 2: NLP Compression &amp; Distillation Architectures</w:t>
      </w:r>
    </w:p>
    <w:p>
      <w:pPr>
        <w:keepNext/>
        <w:spacing w:before="160" w:after="40"/>
      </w:pPr>
      <w:r>
        <w:rPr>
          <w:rFonts w:ascii="Calibri" w:hAnsi="Calibri"/>
          <w:b/>
          <w:color w:val="2D3748"/>
          <w:sz w:val="22"/>
        </w:rPr>
        <w:t>3. Sanh, V., Debut, L., Chaumond, J., &amp; Wolf, T. (2019). 'DistilBERT, a distilled version of BERT: smaller, faster, cheaper and lighter' (NeurIPS EMC2 Workshop)</w:t>
      </w:r>
    </w:p>
    <w:p>
      <w:pPr>
        <w:spacing w:after="60"/>
        <w:ind w:left="288"/>
      </w:pPr>
      <w:r>
        <w:rPr>
          <w:b/>
        </w:rPr>
        <w:t xml:space="preserve">• What Exists: </w:t>
      </w:r>
      <w:r>
        <w:t>Introduced DistilBERT, a 6-layer transformer student model pre-trained via triple loss (masked language modeling, soft-label distillation, and cosine hidden state alignment), retaining 97% of BERT-base language understanding while reducing parameter footprint by 40% and accelerating inference by 60%.</w:t>
      </w:r>
    </w:p>
    <w:p>
      <w:pPr>
        <w:spacing w:after="60"/>
        <w:ind w:left="288"/>
      </w:pPr>
      <w:r>
        <w:rPr>
          <w:b/>
        </w:rPr>
        <w:t xml:space="preserve">• Where It Falls Short: </w:t>
      </w:r>
      <w:r>
        <w:t>Employs an extremely expensive, compute-heavy task-agnostic pre-training distillation phase on broad general corpora (Toronto Books and English Wikipedia). It does not evaluate task-specific fine-tuning distillation from domain-specialized scientific teachers, nor does it explore ultra-small sub-15M parameter regimes.</w:t>
      </w:r>
    </w:p>
    <w:p>
      <w:pPr>
        <w:spacing w:after="160"/>
        <w:ind w:left="288"/>
      </w:pPr>
      <w:r>
        <w:rPr>
          <w:b/>
          <w:color w:val="2B6CB0"/>
        </w:rPr>
        <w:t xml:space="preserve">• One-Line Statement of Gap: </w:t>
      </w:r>
      <w:r>
        <w:rPr>
          <w:i/>
        </w:rPr>
        <w:t>Relies on compute-intensive general-domain pre-training distillation rather than evaluating sample-efficient, task-specific distillation from domain-adapted teachers into ultra-compact models.</w:t>
      </w:r>
    </w:p>
    <w:p>
      <w:pPr>
        <w:keepNext/>
        <w:spacing w:before="160" w:after="40"/>
      </w:pPr>
      <w:r>
        <w:rPr>
          <w:rFonts w:ascii="Calibri" w:hAnsi="Calibri"/>
          <w:b/>
          <w:color w:val="2D3748"/>
          <w:sz w:val="22"/>
        </w:rPr>
        <w:t>4. Jiao, X., Yin, Y., Shang, L., Jiang, X., Chen, X., Li, L., Wang, F., &amp; Liu, Q. (2020). 'TinyBERT: Distilling BERT for Natural Language Understanding' (Findings of EMNLP 2020)</w:t>
      </w:r>
    </w:p>
    <w:p>
      <w:pPr>
        <w:spacing w:after="60"/>
        <w:ind w:left="288"/>
      </w:pPr>
      <w:r>
        <w:rPr>
          <w:b/>
        </w:rPr>
        <w:t xml:space="preserve">• What Exists: </w:t>
      </w:r>
      <w:r>
        <w:t>Proposed a two-stage distillation framework (general + task-specific) with Transformer-distillation performing layer-to-layer alignment across word embeddings, hidden state representations, and multi-head attention matrices, combined with data augmentation.</w:t>
      </w:r>
    </w:p>
    <w:p>
      <w:pPr>
        <w:spacing w:after="60"/>
        <w:ind w:left="288"/>
      </w:pPr>
      <w:r>
        <w:rPr>
          <w:b/>
        </w:rPr>
        <w:t xml:space="preserve">• Where It Falls Short: </w:t>
      </w:r>
      <w:r>
        <w:t>Incurs severe training complexity requiring strict layer-mapping heuristics between teacher and student. It assumes identical or integer-factor dimensional compatibility and evaluates solely on standard GLUE benchmark accuracy, ignoring minority-class sensitivity and behavioural robustness.</w:t>
      </w:r>
    </w:p>
    <w:p>
      <w:pPr>
        <w:spacing w:after="160"/>
        <w:ind w:left="288"/>
      </w:pPr>
      <w:r>
        <w:rPr>
          <w:b/>
          <w:color w:val="2B6CB0"/>
        </w:rPr>
        <w:t xml:space="preserve">• One-Line Statement of Gap: </w:t>
      </w:r>
      <w:r>
        <w:rPr>
          <w:i/>
        </w:rPr>
        <w:t>Requires rigid layer-by-layer attention and hidden mapping that breaks when compressing across drastically dissimilar student capacities without assessing tail-class performance.</w:t>
      </w:r>
    </w:p>
    <w:p>
      <w:pPr>
        <w:keepNext/>
        <w:spacing w:before="160" w:after="40"/>
      </w:pPr>
      <w:r>
        <w:rPr>
          <w:rFonts w:ascii="Calibri" w:hAnsi="Calibri"/>
          <w:b/>
          <w:color w:val="2D3748"/>
          <w:sz w:val="22"/>
        </w:rPr>
        <w:t>5. Romero, A., Ballas, N., Kahou, S. E., Chassang, A., Gatta, C., &amp; Bengio, Y. (2014). 'FitNets: Hints for Thin Deep Nets' (ICLR 2015)</w:t>
      </w:r>
    </w:p>
    <w:p>
      <w:pPr>
        <w:spacing w:after="60"/>
        <w:ind w:left="288"/>
      </w:pPr>
      <w:r>
        <w:rPr>
          <w:b/>
        </w:rPr>
        <w:t xml:space="preserve">• What Exists: </w:t>
      </w:r>
      <w:r>
        <w:t>Pioneered intermediate-layer feature-based knowledge distillation by introducing learnable 'hint' projection matrices to map student hidden representations into the teacher's dimensional space, enabling students with significantly smaller channel dimensions to learn guided representations.</w:t>
      </w:r>
    </w:p>
    <w:p>
      <w:pPr>
        <w:spacing w:after="60"/>
        <w:ind w:left="288"/>
      </w:pPr>
      <w:r>
        <w:rPr>
          <w:b/>
        </w:rPr>
        <w:t xml:space="preserve">• Where It Falls Short: </w:t>
      </w:r>
      <w:r>
        <w:t>Formulated primarily for convolutional networks using a disjoint two-stage training scheme (pre-training hints first, then training final classification), which lacks end-to-end multi-objective optimization and masking for variable-length sequence data.</w:t>
      </w:r>
    </w:p>
    <w:p>
      <w:pPr>
        <w:spacing w:after="160"/>
        <w:ind w:left="288"/>
      </w:pPr>
      <w:r>
        <w:rPr>
          <w:b/>
          <w:color w:val="2B6CB0"/>
        </w:rPr>
        <w:t xml:space="preserve">• One-Line Statement of Gap: </w:t>
      </w:r>
      <w:r>
        <w:rPr>
          <w:i/>
        </w:rPr>
        <w:t>Lacks unified end-to-end joint loss optimization and attention masking for variable-length transformer sequence representations.</w:t>
      </w:r>
    </w:p>
    <w:p>
      <w:pPr>
        <w:keepNext/>
        <w:spacing w:before="160" w:after="40"/>
      </w:pPr>
      <w:r>
        <w:rPr>
          <w:rFonts w:ascii="Calibri" w:hAnsi="Calibri"/>
          <w:b/>
          <w:color w:val="2D3748"/>
          <w:sz w:val="22"/>
        </w:rPr>
        <w:t>6. Turc, I., Chang, M. W., Lee, K., &amp; Toutanova, K. (2019). 'Well-Read Students Learn Better: On the Importance of Pre-training Compact Models' (arXiv:1908.08962)</w:t>
      </w:r>
    </w:p>
    <w:p>
      <w:pPr>
        <w:spacing w:after="60"/>
        <w:ind w:left="288"/>
      </w:pPr>
      <w:r>
        <w:rPr>
          <w:b/>
        </w:rPr>
        <w:t xml:space="preserve">• What Exists: </w:t>
      </w:r>
      <w:r>
        <w:t>Conducted a systematic empirical study across 24 pre-trained compact BERT models (BERT-Tiny, BERT-Mini, BERT-Small, BERT-Medium) proving that pre-training compact students on general corpora prior to task-specific distillation is essential to achieve competitive accuracy.</w:t>
      </w:r>
    </w:p>
    <w:p>
      <w:pPr>
        <w:spacing w:after="60"/>
        <w:ind w:left="288"/>
      </w:pPr>
      <w:r>
        <w:rPr>
          <w:b/>
        </w:rPr>
        <w:t xml:space="preserve">• Where It Falls Short: </w:t>
      </w:r>
      <w:r>
        <w:t>Evaluated compact student architectures exclusively on standard GLUE classification and SQuAD question answering benchmarks, without investigating domain-specific scientific corpora, hardware-level CPU/GPU latency profiles, or minority-class degradation under compression.</w:t>
      </w:r>
    </w:p>
    <w:p>
      <w:pPr>
        <w:spacing w:after="160"/>
        <w:ind w:left="288"/>
      </w:pPr>
      <w:r>
        <w:rPr>
          <w:b/>
          <w:color w:val="2B6CB0"/>
        </w:rPr>
        <w:t xml:space="preserve">• One-Line Statement of Gap: </w:t>
      </w:r>
      <w:r>
        <w:rPr>
          <w:i/>
        </w:rPr>
        <w:t>Evaluates compact student architectures solely on generic NLP benchmarks without analyzing domain transfer, minority-class degradation, or hardware latency profiles.</w:t>
      </w:r>
    </w:p>
    <w:p>
      <w:pPr>
        <w:keepNext/>
        <w:spacing w:before="240" w:after="80"/>
      </w:pPr>
      <w:r>
        <w:rPr>
          <w:rFonts w:ascii="Calibri" w:hAnsi="Calibri"/>
          <w:b/>
          <w:color w:val="2B6CB0"/>
          <w:sz w:val="25"/>
        </w:rPr>
        <w:t>Theme 3: Domain-Specific Scientific Language Models</w:t>
      </w:r>
    </w:p>
    <w:p>
      <w:pPr>
        <w:keepNext/>
        <w:spacing w:before="160" w:after="40"/>
      </w:pPr>
      <w:r>
        <w:rPr>
          <w:rFonts w:ascii="Calibri" w:hAnsi="Calibri"/>
          <w:b/>
          <w:color w:val="2D3748"/>
          <w:sz w:val="22"/>
        </w:rPr>
        <w:t>7. Beltagy, I., Lo, K., &amp; Cohan, A. (2019). 'SciBERT: A Pretrained Language Model for Scientific Text' (EMNLP 2019)</w:t>
      </w:r>
    </w:p>
    <w:p>
      <w:pPr>
        <w:spacing w:after="60"/>
        <w:ind w:left="288"/>
      </w:pPr>
      <w:r>
        <w:rPr>
          <w:b/>
        </w:rPr>
        <w:t xml:space="preserve">• What Exists: </w:t>
      </w:r>
      <w:r>
        <w:t>Constructed SciBERT by pre-training a full 110M parameter BERT model from scratch on 1.14M full-text scientific papers from Semantic Scholar using a specialized scientific vocabulary (`scivocab`), achieving state-of-the-art results across biomedical, computational, and physical science NLP tasks.</w:t>
      </w:r>
    </w:p>
    <w:p>
      <w:pPr>
        <w:spacing w:after="60"/>
        <w:ind w:left="288"/>
      </w:pPr>
      <w:r>
        <w:rPr>
          <w:b/>
        </w:rPr>
        <w:t xml:space="preserve">• Where It Falls Short: </w:t>
      </w:r>
      <w:r>
        <w:t>The model's large parameter size (109.9M parameters, ~420 MB memory footprint) incurs high latency (~143.6 ms per citation on CPU), creating a severe computational bottleneck for real-time document indexing, edge-device reference managers, and high-throughput bibliometric mining.</w:t>
      </w:r>
    </w:p>
    <w:p>
      <w:pPr>
        <w:spacing w:after="160"/>
        <w:ind w:left="288"/>
      </w:pPr>
      <w:r>
        <w:rPr>
          <w:b/>
          <w:color w:val="2B6CB0"/>
        </w:rPr>
        <w:t xml:space="preserve">• One-Line Statement of Gap: </w:t>
      </w:r>
      <w:r>
        <w:rPr>
          <w:i/>
        </w:rPr>
        <w:t>Achieves state-of-the-art scientific NLP performance but suffers from prohibitive memory footprints and high inference latency, with no compression pathways provided.</w:t>
      </w:r>
    </w:p>
    <w:p>
      <w:pPr>
        <w:keepNext/>
        <w:spacing w:before="160" w:after="40"/>
      </w:pPr>
      <w:r>
        <w:rPr>
          <w:rFonts w:ascii="Calibri" w:hAnsi="Calibri"/>
          <w:b/>
          <w:color w:val="2D3748"/>
          <w:sz w:val="22"/>
        </w:rPr>
        <w:t>8. Lee, J., Yoon, W., Kim, S., Kim, D., Kim, S., So, C. H., &amp; Kang, J. (2020). 'BioBERT: a pre-trained biomedical language representation model for biomedical text mining' (Bioinformatics, 36(4), 1234-1240)</w:t>
      </w:r>
    </w:p>
    <w:p>
      <w:pPr>
        <w:spacing w:after="60"/>
        <w:ind w:left="288"/>
      </w:pPr>
      <w:r>
        <w:rPr>
          <w:b/>
        </w:rPr>
        <w:t xml:space="preserve">• What Exists: </w:t>
      </w:r>
      <w:r>
        <w:t>Demonstrated the indispensable necessity of domain adaptation by continually pre-training BERT on PubMed abstracts and PMC full-text articles, demonstrating that general-domain models fail to resolve nuanced scientific and biomedical nomenclatures.</w:t>
      </w:r>
    </w:p>
    <w:p>
      <w:pPr>
        <w:spacing w:after="60"/>
        <w:ind w:left="288"/>
      </w:pPr>
      <w:r>
        <w:rPr>
          <w:b/>
        </w:rPr>
        <w:t xml:space="preserve">• Where It Falls Short: </w:t>
      </w:r>
      <w:r>
        <w:t>Confirms that general-domain pre-training alone cannot bridge technical lexical gaps, but reinforces the deployment barrier by keeping the model at the full 110M parameter base size with high latency and zero exploration of model compression or edge deployment.</w:t>
      </w:r>
    </w:p>
    <w:p>
      <w:pPr>
        <w:spacing w:after="160"/>
        <w:ind w:left="288"/>
      </w:pPr>
      <w:r>
        <w:rPr>
          <w:b/>
          <w:color w:val="2B6CB0"/>
        </w:rPr>
        <w:t xml:space="preserve">• One-Line Statement of Gap: </w:t>
      </w:r>
      <w:r>
        <w:rPr>
          <w:i/>
        </w:rPr>
        <w:t>Validates the necessity of scientific domain adaptation but reinforces deployment bottlenecks by neglecting model compression techniques.</w:t>
      </w:r>
    </w:p>
    <w:p>
      <w:pPr>
        <w:keepNext/>
        <w:spacing w:before="240" w:after="80"/>
      </w:pPr>
      <w:r>
        <w:rPr>
          <w:rFonts w:ascii="Calibri" w:hAnsi="Calibri"/>
          <w:b/>
          <w:color w:val="2B6CB0"/>
          <w:sz w:val="25"/>
        </w:rPr>
        <w:t>Theme 4: Citation-Intent Classification &amp; Scholarly Corpora</w:t>
      </w:r>
    </w:p>
    <w:p>
      <w:pPr>
        <w:keepNext/>
        <w:spacing w:before="160" w:after="40"/>
      </w:pPr>
      <w:r>
        <w:rPr>
          <w:rFonts w:ascii="Calibri" w:hAnsi="Calibri"/>
          <w:b/>
          <w:color w:val="2D3748"/>
          <w:sz w:val="22"/>
        </w:rPr>
        <w:t>9. Cohan, A., Ammar, W., van Zuylen, M., &amp; Cady, F. (2019). 'Structural Scaffolds for Citation Intent Classification in Scientific Texts' (NAACL-HLT 2019)</w:t>
      </w:r>
    </w:p>
    <w:p>
      <w:pPr>
        <w:spacing w:after="60"/>
        <w:ind w:left="288"/>
      </w:pPr>
      <w:r>
        <w:rPr>
          <w:b/>
        </w:rPr>
        <w:t xml:space="preserve">• What Exists: </w:t>
      </w:r>
      <w:r>
        <w:t>Introduced the canonical SciCite dataset consisting of 8,194 annotated citation contexts categorized into three functional intents (`method`, `background`, `result`), and demonstrated that multi-task structural scaffolding using section titles improves classification accuracy.</w:t>
      </w:r>
    </w:p>
    <w:p>
      <w:pPr>
        <w:spacing w:after="60"/>
        <w:ind w:left="288"/>
      </w:pPr>
      <w:r>
        <w:rPr>
          <w:b/>
        </w:rPr>
        <w:t xml:space="preserve">• Where It Falls Short: </w:t>
      </w:r>
      <w:r>
        <w:t>The baseline evaluation relied on BiLSTM and standard ELMo/BERT architectures without investigating transformer distillation, inference throughput, or the severe performance vulnerability on the low-frequency `result` intent class (which constitutes less than 14% of the corpus).</w:t>
      </w:r>
    </w:p>
    <w:p>
      <w:pPr>
        <w:spacing w:after="160"/>
        <w:ind w:left="288"/>
      </w:pPr>
      <w:r>
        <w:rPr>
          <w:b/>
          <w:color w:val="2B6CB0"/>
        </w:rPr>
        <w:t xml:space="preserve">• One-Line Statement of Gap: </w:t>
      </w:r>
      <w:r>
        <w:rPr>
          <w:i/>
        </w:rPr>
        <w:t>Establishes the canonical 3-class citation intent benchmark with natural class imbalance but omits model compression, student distillation, and real-time efficiency analysis.</w:t>
      </w:r>
    </w:p>
    <w:p>
      <w:pPr>
        <w:keepNext/>
        <w:spacing w:before="160" w:after="40"/>
      </w:pPr>
      <w:r>
        <w:rPr>
          <w:rFonts w:ascii="Calibri" w:hAnsi="Calibri"/>
          <w:b/>
          <w:color w:val="2D3748"/>
          <w:sz w:val="22"/>
        </w:rPr>
        <w:t>10. Jurgens, D., Kumar, S., Radev, D., &amp; Jurafsky, D. (2018). 'Measuring the Evolution of a Scientific Field through Citation Ingestion and Intent' (Transactions of the Association for Computational Linguistics (TACL 2018))</w:t>
      </w:r>
    </w:p>
    <w:p>
      <w:pPr>
        <w:spacing w:after="60"/>
        <w:ind w:left="288"/>
      </w:pPr>
      <w:r>
        <w:rPr>
          <w:b/>
        </w:rPr>
        <w:t xml:space="preserve">• What Exists: </w:t>
      </w:r>
      <w:r>
        <w:t>Demonstrated the transformative bibliometric utility of fine-grained citation intent classification to map intellectual lineage, paradigm shifts, and methodological adoption across computer science literature over decades.</w:t>
      </w:r>
    </w:p>
    <w:p>
      <w:pPr>
        <w:spacing w:after="60"/>
        <w:ind w:left="288"/>
      </w:pPr>
      <w:r>
        <w:rPr>
          <w:b/>
        </w:rPr>
        <w:t xml:space="preserve">• Where It Falls Short: </w:t>
      </w:r>
      <w:r>
        <w:t>Relied on legacy feature-engineered classifiers (support vector machines and random forests over n-grams and syntactic dependency trees), which require cumbersome external parsers and scale poorly compared to modern end-to-end contextual encoders.</w:t>
      </w:r>
    </w:p>
    <w:p>
      <w:pPr>
        <w:spacing w:after="160"/>
        <w:ind w:left="288"/>
      </w:pPr>
      <w:r>
        <w:rPr>
          <w:b/>
          <w:color w:val="2B6CB0"/>
        </w:rPr>
        <w:t xml:space="preserve">• One-Line Statement of Gap: </w:t>
      </w:r>
      <w:r>
        <w:rPr>
          <w:i/>
        </w:rPr>
        <w:t>Establishes the critical bibliometric value of citation intent tracking but relies on brittle, hand-crafted syntactic features rather than deployable neural architectures.</w:t>
      </w:r>
    </w:p>
    <w:p>
      <w:pPr>
        <w:keepNext/>
        <w:spacing w:before="240" w:after="80"/>
      </w:pPr>
      <w:r>
        <w:rPr>
          <w:rFonts w:ascii="Calibri" w:hAnsi="Calibri"/>
          <w:b/>
          <w:color w:val="2B6CB0"/>
          <w:sz w:val="25"/>
        </w:rPr>
        <w:t>Theme 5: Model Robustness &amp; Behavioural Testing in NLP</w:t>
      </w:r>
    </w:p>
    <w:p>
      <w:pPr>
        <w:keepNext/>
        <w:spacing w:before="160" w:after="40"/>
      </w:pPr>
      <w:r>
        <w:rPr>
          <w:rFonts w:ascii="Calibri" w:hAnsi="Calibri"/>
          <w:b/>
          <w:color w:val="2D3748"/>
          <w:sz w:val="22"/>
        </w:rPr>
        <w:t>11. Ribeiro, M. T., Wu, T., Guestrin, C., &amp; Samek, W. (2020). 'Beyond Accuracy: Behavioral Testing of NLP Models with CheckList' (ACL 2020 (Best Paper Award))</w:t>
      </w:r>
    </w:p>
    <w:p>
      <w:pPr>
        <w:spacing w:after="60"/>
        <w:ind w:left="288"/>
      </w:pPr>
      <w:r>
        <w:rPr>
          <w:b/>
        </w:rPr>
        <w:t xml:space="preserve">• What Exists: </w:t>
      </w:r>
      <w:r>
        <w:t>Pioneered the CheckList framework for matrix-based behavioural testing of NLP models, demonstrating that high-accuracy transformers routinely suffer catastrophic failure on simple Minimum Functionality Tests (MFT), Invariance Tests (INV), and Directional Expectation Tests (DIR).</w:t>
      </w:r>
    </w:p>
    <w:p>
      <w:pPr>
        <w:spacing w:after="60"/>
        <w:ind w:left="288"/>
      </w:pPr>
      <w:r>
        <w:rPr>
          <w:b/>
        </w:rPr>
        <w:t xml:space="preserve">• Where It Falls Short: </w:t>
      </w:r>
      <w:r>
        <w:t>Focuses predominantly on general-domain tasks (sentiment analysis, duplicate question detection, machine reading comprehension) and evaluates large commercial black-box models, without examining whether knowledge distillation preserves, magnifies, or mitigates behavioural vulnerabilities under compression.</w:t>
      </w:r>
    </w:p>
    <w:p>
      <w:pPr>
        <w:spacing w:after="160"/>
        <w:ind w:left="288"/>
      </w:pPr>
      <w:r>
        <w:rPr>
          <w:b/>
          <w:color w:val="2B6CB0"/>
        </w:rPr>
        <w:t xml:space="preserve">• One-Line Statement of Gap: </w:t>
      </w:r>
      <w:r>
        <w:rPr>
          <w:i/>
        </w:rPr>
        <w:t>Establishes systematic behavioural perturbation testing for NLP but leaves completely unexplored whether knowledge distillation preserves behavioural invariance under model compression.</w:t>
      </w:r>
    </w:p>
    <w:p>
      <w:pPr>
        <w:keepNext/>
        <w:spacing w:before="240" w:after="80"/>
      </w:pPr>
      <w:r>
        <w:rPr>
          <w:rFonts w:ascii="Calibri" w:hAnsi="Calibri"/>
          <w:b/>
          <w:color w:val="2B6CB0"/>
          <w:sz w:val="25"/>
        </w:rPr>
        <w:t>Summary Matrix of Surveyed Literature &amp; Identified Gaps</w:t>
      </w:r>
    </w:p>
    <w:tbl>
      <w:tblPr>
        <w:tblW w:type="auto" w:w="0"/>
        <w:jc w:val="center"/>
        <w:tblLook w:firstColumn="1" w:firstRow="1" w:lastColumn="0" w:lastRow="0" w:noHBand="0" w:noVBand="1" w:val="04A0"/>
        <w:tblBorders>
          <w:top w:val="single" w:sz="6" w:space="0" w:color="CBD5E0"/>
          <w:bottom w:val="single" w:sz="8" w:space="0" w:color="1B365D"/>
          <w:left w:val="none"/>
          <w:right w:val="none"/>
          <w:insideH w:val="single" w:sz="4" w:space="0" w:color="CBD5E0"/>
          <w:insideV w:val="none"/>
        </w:tblBorders>
      </w:tblPr>
      <w:tblGrid>
        <w:gridCol w:w="2340"/>
        <w:gridCol w:w="2340"/>
        <w:gridCol w:w="2340"/>
        <w:gridCol w:w="2340"/>
      </w:tblGrid>
      <w:tr>
        <w:tc>
          <w:tcPr>
            <w:tcW w:type="dxa" w:w="2340"/>
            <w:shd w:fill="1B365D"/>
            <w:tcMar>
              <w:top w:w="140" w:type="dxa"/>
              <w:bottom w:w="140" w:type="dxa"/>
              <w:left w:w="140" w:type="dxa"/>
              <w:right w:w="140" w:type="dxa"/>
            </w:tcMar>
          </w:tcPr>
          <w:p>
            <w:r>
              <w:rPr>
                <w:b/>
                <w:color w:val="FFFFFF"/>
                <w:sz w:val="19"/>
              </w:rPr>
              <w:t>Theme</w:t>
            </w:r>
          </w:p>
        </w:tc>
        <w:tc>
          <w:tcPr>
            <w:tcW w:type="dxa" w:w="2340"/>
            <w:shd w:fill="1B365D"/>
            <w:tcMar>
              <w:top w:w="140" w:type="dxa"/>
              <w:bottom w:w="140" w:type="dxa"/>
              <w:left w:w="140" w:type="dxa"/>
              <w:right w:w="140" w:type="dxa"/>
            </w:tcMar>
          </w:tcPr>
          <w:p>
            <w:r>
              <w:rPr>
                <w:b/>
                <w:color w:val="FFFFFF"/>
                <w:sz w:val="19"/>
              </w:rPr>
              <w:t>Author(s) &amp; Year</w:t>
            </w:r>
          </w:p>
        </w:tc>
        <w:tc>
          <w:tcPr>
            <w:tcW w:type="dxa" w:w="2340"/>
            <w:shd w:fill="1B365D"/>
            <w:tcMar>
              <w:top w:w="140" w:type="dxa"/>
              <w:bottom w:w="140" w:type="dxa"/>
              <w:left w:w="140" w:type="dxa"/>
              <w:right w:w="140" w:type="dxa"/>
            </w:tcMar>
          </w:tcPr>
          <w:p>
            <w:r>
              <w:rPr>
                <w:b/>
                <w:color w:val="FFFFFF"/>
                <w:sz w:val="19"/>
              </w:rPr>
              <w:t>Model / Focus</w:t>
            </w:r>
          </w:p>
        </w:tc>
        <w:tc>
          <w:tcPr>
            <w:tcW w:type="dxa" w:w="2340"/>
            <w:shd w:fill="1B365D"/>
            <w:tcMar>
              <w:top w:w="140" w:type="dxa"/>
              <w:bottom w:w="140" w:type="dxa"/>
              <w:left w:w="140" w:type="dxa"/>
              <w:right w:w="140" w:type="dxa"/>
            </w:tcMar>
          </w:tcPr>
          <w:p>
            <w:r>
              <w:rPr>
                <w:b/>
                <w:color w:val="FFFFFF"/>
                <w:sz w:val="19"/>
              </w:rPr>
              <w:t>Identified Research Gap</w:t>
            </w:r>
          </w:p>
        </w:tc>
      </w:tr>
      <w:tr>
        <w:tc>
          <w:tcPr>
            <w:tcW w:type="dxa" w:w="2340"/>
            <w:shd w:fill="FFFFFF"/>
            <w:tcMar>
              <w:top w:w="100" w:type="dxa"/>
              <w:bottom w:w="100" w:type="dxa"/>
              <w:left w:w="120" w:type="dxa"/>
              <w:right w:w="120" w:type="dxa"/>
            </w:tcMar>
          </w:tcPr>
          <w:p>
            <w:r>
              <w:rPr>
                <w:b/>
                <w:sz w:val="18"/>
              </w:rPr>
              <w:t>KD Foundations</w:t>
            </w:r>
          </w:p>
        </w:tc>
        <w:tc>
          <w:tcPr>
            <w:tcW w:type="dxa" w:w="2340"/>
            <w:shd w:fill="FFFFFF"/>
            <w:tcMar>
              <w:top w:w="100" w:type="dxa"/>
              <w:bottom w:w="100" w:type="dxa"/>
              <w:left w:w="120" w:type="dxa"/>
              <w:right w:w="120" w:type="dxa"/>
            </w:tcMar>
          </w:tcPr>
          <w:p>
            <w:r>
              <w:rPr>
                <w:sz w:val="18"/>
              </w:rPr>
              <w:t>Hinton et al. (2015)</w:t>
            </w:r>
          </w:p>
        </w:tc>
        <w:tc>
          <w:tcPr>
            <w:tcW w:type="dxa" w:w="2340"/>
            <w:shd w:fill="FFFFFF"/>
            <w:tcMar>
              <w:top w:w="100" w:type="dxa"/>
              <w:bottom w:w="100" w:type="dxa"/>
              <w:left w:w="120" w:type="dxa"/>
              <w:right w:w="120" w:type="dxa"/>
            </w:tcMar>
          </w:tcPr>
          <w:p>
            <w:r>
              <w:rPr>
                <w:sz w:val="18"/>
              </w:rPr>
              <w:t>Soft-label KD</w:t>
            </w:r>
          </w:p>
        </w:tc>
        <w:tc>
          <w:tcPr>
            <w:tcW w:type="dxa" w:w="2340"/>
            <w:shd w:fill="FFFFFF"/>
            <w:tcMar>
              <w:top w:w="100" w:type="dxa"/>
              <w:bottom w:w="100" w:type="dxa"/>
              <w:left w:w="120" w:type="dxa"/>
              <w:right w:w="120" w:type="dxa"/>
            </w:tcMar>
          </w:tcPr>
          <w:p>
            <w:r>
              <w:rPr>
                <w:sz w:val="18"/>
              </w:rPr>
              <w:t>Lacks contextual transformer evaluation and tail-class analysis on imbalanced text.</w:t>
            </w:r>
          </w:p>
        </w:tc>
      </w:tr>
      <w:tr>
        <w:tc>
          <w:tcPr>
            <w:tcW w:type="dxa" w:w="2340"/>
            <w:shd w:fill="F8FAFC"/>
            <w:tcMar>
              <w:top w:w="100" w:type="dxa"/>
              <w:bottom w:w="100" w:type="dxa"/>
              <w:left w:w="120" w:type="dxa"/>
              <w:right w:w="120" w:type="dxa"/>
            </w:tcMar>
          </w:tcPr>
          <w:p>
            <w:r>
              <w:rPr>
                <w:b/>
                <w:sz w:val="18"/>
              </w:rPr>
              <w:t>KD Foundations</w:t>
            </w:r>
          </w:p>
        </w:tc>
        <w:tc>
          <w:tcPr>
            <w:tcW w:type="dxa" w:w="2340"/>
            <w:shd w:fill="F8FAFC"/>
            <w:tcMar>
              <w:top w:w="100" w:type="dxa"/>
              <w:bottom w:w="100" w:type="dxa"/>
              <w:left w:w="120" w:type="dxa"/>
              <w:right w:w="120" w:type="dxa"/>
            </w:tcMar>
          </w:tcPr>
          <w:p>
            <w:r>
              <w:rPr>
                <w:sz w:val="18"/>
              </w:rPr>
              <w:t>Ba &amp; Caruana (2014)</w:t>
            </w:r>
          </w:p>
        </w:tc>
        <w:tc>
          <w:tcPr>
            <w:tcW w:type="dxa" w:w="2340"/>
            <w:shd w:fill="F8FAFC"/>
            <w:tcMar>
              <w:top w:w="100" w:type="dxa"/>
              <w:bottom w:w="100" w:type="dxa"/>
              <w:left w:w="120" w:type="dxa"/>
              <w:right w:w="120" w:type="dxa"/>
            </w:tcMar>
          </w:tcPr>
          <w:p>
            <w:r>
              <w:rPr>
                <w:sz w:val="18"/>
              </w:rPr>
              <w:t>Logit regression</w:t>
            </w:r>
          </w:p>
        </w:tc>
        <w:tc>
          <w:tcPr>
            <w:tcW w:type="dxa" w:w="2340"/>
            <w:shd w:fill="F8FAFC"/>
            <w:tcMar>
              <w:top w:w="100" w:type="dxa"/>
              <w:bottom w:w="100" w:type="dxa"/>
              <w:left w:w="120" w:type="dxa"/>
              <w:right w:w="120" w:type="dxa"/>
            </w:tcMar>
          </w:tcPr>
          <w:p>
            <w:r>
              <w:rPr>
                <w:sz w:val="18"/>
              </w:rPr>
              <w:t>Only tested shallow feedforward networks on tabular data; no self-attention compression.</w:t>
            </w:r>
          </w:p>
        </w:tc>
      </w:tr>
      <w:tr>
        <w:tc>
          <w:tcPr>
            <w:tcW w:type="dxa" w:w="2340"/>
            <w:shd w:fill="FFFFFF"/>
            <w:tcMar>
              <w:top w:w="100" w:type="dxa"/>
              <w:bottom w:w="100" w:type="dxa"/>
              <w:left w:w="120" w:type="dxa"/>
              <w:right w:w="120" w:type="dxa"/>
            </w:tcMar>
          </w:tcPr>
          <w:p>
            <w:r>
              <w:rPr>
                <w:b/>
                <w:sz w:val="18"/>
              </w:rPr>
              <w:t>NLP Distillation</w:t>
            </w:r>
          </w:p>
        </w:tc>
        <w:tc>
          <w:tcPr>
            <w:tcW w:type="dxa" w:w="2340"/>
            <w:shd w:fill="FFFFFF"/>
            <w:tcMar>
              <w:top w:w="100" w:type="dxa"/>
              <w:bottom w:w="100" w:type="dxa"/>
              <w:left w:w="120" w:type="dxa"/>
              <w:right w:w="120" w:type="dxa"/>
            </w:tcMar>
          </w:tcPr>
          <w:p>
            <w:r>
              <w:rPr>
                <w:sz w:val="18"/>
              </w:rPr>
              <w:t>Sanh et al. (2019)</w:t>
            </w:r>
          </w:p>
        </w:tc>
        <w:tc>
          <w:tcPr>
            <w:tcW w:type="dxa" w:w="2340"/>
            <w:shd w:fill="FFFFFF"/>
            <w:tcMar>
              <w:top w:w="100" w:type="dxa"/>
              <w:bottom w:w="100" w:type="dxa"/>
              <w:left w:w="120" w:type="dxa"/>
              <w:right w:w="120" w:type="dxa"/>
            </w:tcMar>
          </w:tcPr>
          <w:p>
            <w:r>
              <w:rPr>
                <w:sz w:val="18"/>
              </w:rPr>
              <w:t>DistilBERT (66M)</w:t>
            </w:r>
          </w:p>
        </w:tc>
        <w:tc>
          <w:tcPr>
            <w:tcW w:type="dxa" w:w="2340"/>
            <w:shd w:fill="FFFFFF"/>
            <w:tcMar>
              <w:top w:w="100" w:type="dxa"/>
              <w:bottom w:w="100" w:type="dxa"/>
              <w:left w:w="120" w:type="dxa"/>
              <w:right w:w="120" w:type="dxa"/>
            </w:tcMar>
          </w:tcPr>
          <w:p>
            <w:r>
              <w:rPr>
                <w:sz w:val="18"/>
              </w:rPr>
              <w:t>Relies on expensive pre-training distillation on general text; ignores task-specific domain transfer.</w:t>
            </w:r>
          </w:p>
        </w:tc>
      </w:tr>
      <w:tr>
        <w:tc>
          <w:tcPr>
            <w:tcW w:type="dxa" w:w="2340"/>
            <w:shd w:fill="F8FAFC"/>
            <w:tcMar>
              <w:top w:w="100" w:type="dxa"/>
              <w:bottom w:w="100" w:type="dxa"/>
              <w:left w:w="120" w:type="dxa"/>
              <w:right w:w="120" w:type="dxa"/>
            </w:tcMar>
          </w:tcPr>
          <w:p>
            <w:r>
              <w:rPr>
                <w:b/>
                <w:sz w:val="18"/>
              </w:rPr>
              <w:t>NLP Distillation</w:t>
            </w:r>
          </w:p>
        </w:tc>
        <w:tc>
          <w:tcPr>
            <w:tcW w:type="dxa" w:w="2340"/>
            <w:shd w:fill="F8FAFC"/>
            <w:tcMar>
              <w:top w:w="100" w:type="dxa"/>
              <w:bottom w:w="100" w:type="dxa"/>
              <w:left w:w="120" w:type="dxa"/>
              <w:right w:w="120" w:type="dxa"/>
            </w:tcMar>
          </w:tcPr>
          <w:p>
            <w:r>
              <w:rPr>
                <w:sz w:val="18"/>
              </w:rPr>
              <w:t>Jiao et al. (2020)</w:t>
            </w:r>
          </w:p>
        </w:tc>
        <w:tc>
          <w:tcPr>
            <w:tcW w:type="dxa" w:w="2340"/>
            <w:shd w:fill="F8FAFC"/>
            <w:tcMar>
              <w:top w:w="100" w:type="dxa"/>
              <w:bottom w:w="100" w:type="dxa"/>
              <w:left w:w="120" w:type="dxa"/>
              <w:right w:w="120" w:type="dxa"/>
            </w:tcMar>
          </w:tcPr>
          <w:p>
            <w:r>
              <w:rPr>
                <w:sz w:val="18"/>
              </w:rPr>
              <w:t>TinyBERT</w:t>
            </w:r>
          </w:p>
        </w:tc>
        <w:tc>
          <w:tcPr>
            <w:tcW w:type="dxa" w:w="2340"/>
            <w:shd w:fill="F8FAFC"/>
            <w:tcMar>
              <w:top w:w="100" w:type="dxa"/>
              <w:bottom w:w="100" w:type="dxa"/>
              <w:left w:w="120" w:type="dxa"/>
              <w:right w:w="120" w:type="dxa"/>
            </w:tcMar>
          </w:tcPr>
          <w:p>
            <w:r>
              <w:rPr>
                <w:sz w:val="18"/>
              </w:rPr>
              <w:t>Rigid layer-by-layer attention mapping; untested across disparate student architectures.</w:t>
            </w:r>
          </w:p>
        </w:tc>
      </w:tr>
      <w:tr>
        <w:tc>
          <w:tcPr>
            <w:tcW w:type="dxa" w:w="2340"/>
            <w:shd w:fill="FFFFFF"/>
            <w:tcMar>
              <w:top w:w="100" w:type="dxa"/>
              <w:bottom w:w="100" w:type="dxa"/>
              <w:left w:w="120" w:type="dxa"/>
              <w:right w:w="120" w:type="dxa"/>
            </w:tcMar>
          </w:tcPr>
          <w:p>
            <w:r>
              <w:rPr>
                <w:b/>
                <w:sz w:val="18"/>
              </w:rPr>
              <w:t>NLP Distillation</w:t>
            </w:r>
          </w:p>
        </w:tc>
        <w:tc>
          <w:tcPr>
            <w:tcW w:type="dxa" w:w="2340"/>
            <w:shd w:fill="FFFFFF"/>
            <w:tcMar>
              <w:top w:w="100" w:type="dxa"/>
              <w:bottom w:w="100" w:type="dxa"/>
              <w:left w:w="120" w:type="dxa"/>
              <w:right w:w="120" w:type="dxa"/>
            </w:tcMar>
          </w:tcPr>
          <w:p>
            <w:r>
              <w:rPr>
                <w:sz w:val="18"/>
              </w:rPr>
              <w:t>Romero et al. (2014)</w:t>
            </w:r>
          </w:p>
        </w:tc>
        <w:tc>
          <w:tcPr>
            <w:tcW w:type="dxa" w:w="2340"/>
            <w:shd w:fill="FFFFFF"/>
            <w:tcMar>
              <w:top w:w="100" w:type="dxa"/>
              <w:bottom w:w="100" w:type="dxa"/>
              <w:left w:w="120" w:type="dxa"/>
              <w:right w:w="120" w:type="dxa"/>
            </w:tcMar>
          </w:tcPr>
          <w:p>
            <w:r>
              <w:rPr>
                <w:sz w:val="18"/>
              </w:rPr>
              <w:t>FitNets (Hints)</w:t>
            </w:r>
          </w:p>
        </w:tc>
        <w:tc>
          <w:tcPr>
            <w:tcW w:type="dxa" w:w="2340"/>
            <w:shd w:fill="FFFFFF"/>
            <w:tcMar>
              <w:top w:w="100" w:type="dxa"/>
              <w:bottom w:w="100" w:type="dxa"/>
              <w:left w:w="120" w:type="dxa"/>
              <w:right w:w="120" w:type="dxa"/>
            </w:tcMar>
          </w:tcPr>
          <w:p>
            <w:r>
              <w:rPr>
                <w:sz w:val="18"/>
              </w:rPr>
              <w:t>Two-stage CNN hint training lacks end-to-end multi-objective attention masking.</w:t>
            </w:r>
          </w:p>
        </w:tc>
      </w:tr>
      <w:tr>
        <w:tc>
          <w:tcPr>
            <w:tcW w:type="dxa" w:w="2340"/>
            <w:shd w:fill="F8FAFC"/>
            <w:tcMar>
              <w:top w:w="100" w:type="dxa"/>
              <w:bottom w:w="100" w:type="dxa"/>
              <w:left w:w="120" w:type="dxa"/>
              <w:right w:w="120" w:type="dxa"/>
            </w:tcMar>
          </w:tcPr>
          <w:p>
            <w:r>
              <w:rPr>
                <w:b/>
                <w:sz w:val="18"/>
              </w:rPr>
              <w:t>NLP Distillation</w:t>
            </w:r>
          </w:p>
        </w:tc>
        <w:tc>
          <w:tcPr>
            <w:tcW w:type="dxa" w:w="2340"/>
            <w:shd w:fill="F8FAFC"/>
            <w:tcMar>
              <w:top w:w="100" w:type="dxa"/>
              <w:bottom w:w="100" w:type="dxa"/>
              <w:left w:w="120" w:type="dxa"/>
              <w:right w:w="120" w:type="dxa"/>
            </w:tcMar>
          </w:tcPr>
          <w:p>
            <w:r>
              <w:rPr>
                <w:sz w:val="18"/>
              </w:rPr>
              <w:t>Turc et al. (2019)</w:t>
            </w:r>
          </w:p>
        </w:tc>
        <w:tc>
          <w:tcPr>
            <w:tcW w:type="dxa" w:w="2340"/>
            <w:shd w:fill="F8FAFC"/>
            <w:tcMar>
              <w:top w:w="100" w:type="dxa"/>
              <w:bottom w:w="100" w:type="dxa"/>
              <w:left w:w="120" w:type="dxa"/>
              <w:right w:w="120" w:type="dxa"/>
            </w:tcMar>
          </w:tcPr>
          <w:p>
            <w:r>
              <w:rPr>
                <w:sz w:val="18"/>
              </w:rPr>
              <w:t>Compact BERTs</w:t>
            </w:r>
          </w:p>
        </w:tc>
        <w:tc>
          <w:tcPr>
            <w:tcW w:type="dxa" w:w="2340"/>
            <w:shd w:fill="F8FAFC"/>
            <w:tcMar>
              <w:top w:w="100" w:type="dxa"/>
              <w:bottom w:w="100" w:type="dxa"/>
              <w:left w:w="120" w:type="dxa"/>
              <w:right w:w="120" w:type="dxa"/>
            </w:tcMar>
          </w:tcPr>
          <w:p>
            <w:r>
              <w:rPr>
                <w:sz w:val="18"/>
              </w:rPr>
              <w:t>Evaluated exclusively on GLUE/SQuAD; ignores domain transfer, tail classes, and latency.</w:t>
            </w:r>
          </w:p>
        </w:tc>
      </w:tr>
      <w:tr>
        <w:tc>
          <w:tcPr>
            <w:tcW w:type="dxa" w:w="2340"/>
            <w:shd w:fill="FFFFFF"/>
            <w:tcMar>
              <w:top w:w="100" w:type="dxa"/>
              <w:bottom w:w="100" w:type="dxa"/>
              <w:left w:w="120" w:type="dxa"/>
              <w:right w:w="120" w:type="dxa"/>
            </w:tcMar>
          </w:tcPr>
          <w:p>
            <w:r>
              <w:rPr>
                <w:b/>
                <w:sz w:val="18"/>
              </w:rPr>
              <w:t>Scientific NLP</w:t>
            </w:r>
          </w:p>
        </w:tc>
        <w:tc>
          <w:tcPr>
            <w:tcW w:type="dxa" w:w="2340"/>
            <w:shd w:fill="FFFFFF"/>
            <w:tcMar>
              <w:top w:w="100" w:type="dxa"/>
              <w:bottom w:w="100" w:type="dxa"/>
              <w:left w:w="120" w:type="dxa"/>
              <w:right w:w="120" w:type="dxa"/>
            </w:tcMar>
          </w:tcPr>
          <w:p>
            <w:r>
              <w:rPr>
                <w:sz w:val="18"/>
              </w:rPr>
              <w:t>Beltagy et al. (2019)</w:t>
            </w:r>
          </w:p>
        </w:tc>
        <w:tc>
          <w:tcPr>
            <w:tcW w:type="dxa" w:w="2340"/>
            <w:shd w:fill="FFFFFF"/>
            <w:tcMar>
              <w:top w:w="100" w:type="dxa"/>
              <w:bottom w:w="100" w:type="dxa"/>
              <w:left w:w="120" w:type="dxa"/>
              <w:right w:w="120" w:type="dxa"/>
            </w:tcMar>
          </w:tcPr>
          <w:p>
            <w:r>
              <w:rPr>
                <w:sz w:val="18"/>
              </w:rPr>
              <w:t>SciBERT (110M)</w:t>
            </w:r>
          </w:p>
        </w:tc>
        <w:tc>
          <w:tcPr>
            <w:tcW w:type="dxa" w:w="2340"/>
            <w:shd w:fill="FFFFFF"/>
            <w:tcMar>
              <w:top w:w="100" w:type="dxa"/>
              <w:bottom w:w="100" w:type="dxa"/>
              <w:left w:w="120" w:type="dxa"/>
              <w:right w:w="120" w:type="dxa"/>
            </w:tcMar>
          </w:tcPr>
          <w:p>
            <w:r>
              <w:rPr>
                <w:sz w:val="18"/>
              </w:rPr>
              <w:t>State-of-the-art accuracy but 420 MB size and ~144ms latency prevent real-time deployment.</w:t>
            </w:r>
          </w:p>
        </w:tc>
      </w:tr>
      <w:tr>
        <w:tc>
          <w:tcPr>
            <w:tcW w:type="dxa" w:w="2340"/>
            <w:shd w:fill="F8FAFC"/>
            <w:tcMar>
              <w:top w:w="100" w:type="dxa"/>
              <w:bottom w:w="100" w:type="dxa"/>
              <w:left w:w="120" w:type="dxa"/>
              <w:right w:w="120" w:type="dxa"/>
            </w:tcMar>
          </w:tcPr>
          <w:p>
            <w:r>
              <w:rPr>
                <w:b/>
                <w:sz w:val="18"/>
              </w:rPr>
              <w:t>Scientific NLP</w:t>
            </w:r>
          </w:p>
        </w:tc>
        <w:tc>
          <w:tcPr>
            <w:tcW w:type="dxa" w:w="2340"/>
            <w:shd w:fill="F8FAFC"/>
            <w:tcMar>
              <w:top w:w="100" w:type="dxa"/>
              <w:bottom w:w="100" w:type="dxa"/>
              <w:left w:w="120" w:type="dxa"/>
              <w:right w:w="120" w:type="dxa"/>
            </w:tcMar>
          </w:tcPr>
          <w:p>
            <w:r>
              <w:rPr>
                <w:sz w:val="18"/>
              </w:rPr>
              <w:t>Lee et al. (2020)</w:t>
            </w:r>
          </w:p>
        </w:tc>
        <w:tc>
          <w:tcPr>
            <w:tcW w:type="dxa" w:w="2340"/>
            <w:shd w:fill="F8FAFC"/>
            <w:tcMar>
              <w:top w:w="100" w:type="dxa"/>
              <w:bottom w:w="100" w:type="dxa"/>
              <w:left w:w="120" w:type="dxa"/>
              <w:right w:w="120" w:type="dxa"/>
            </w:tcMar>
          </w:tcPr>
          <w:p>
            <w:r>
              <w:rPr>
                <w:sz w:val="18"/>
              </w:rPr>
              <w:t>BioBERT (110M)</w:t>
            </w:r>
          </w:p>
        </w:tc>
        <w:tc>
          <w:tcPr>
            <w:tcW w:type="dxa" w:w="2340"/>
            <w:shd w:fill="F8FAFC"/>
            <w:tcMar>
              <w:top w:w="100" w:type="dxa"/>
              <w:bottom w:w="100" w:type="dxa"/>
              <w:left w:w="120" w:type="dxa"/>
              <w:right w:w="120" w:type="dxa"/>
            </w:tcMar>
          </w:tcPr>
          <w:p>
            <w:r>
              <w:rPr>
                <w:sz w:val="18"/>
              </w:rPr>
              <w:t>Confirms scientific domain shift but provides no model compression or edge deployment.</w:t>
            </w:r>
          </w:p>
        </w:tc>
      </w:tr>
      <w:tr>
        <w:tc>
          <w:tcPr>
            <w:tcW w:type="dxa" w:w="2340"/>
            <w:shd w:fill="FFFFFF"/>
            <w:tcMar>
              <w:top w:w="100" w:type="dxa"/>
              <w:bottom w:w="100" w:type="dxa"/>
              <w:left w:w="120" w:type="dxa"/>
              <w:right w:w="120" w:type="dxa"/>
            </w:tcMar>
          </w:tcPr>
          <w:p>
            <w:r>
              <w:rPr>
                <w:b/>
                <w:sz w:val="18"/>
              </w:rPr>
              <w:t>Citation Intent</w:t>
            </w:r>
          </w:p>
        </w:tc>
        <w:tc>
          <w:tcPr>
            <w:tcW w:type="dxa" w:w="2340"/>
            <w:shd w:fill="FFFFFF"/>
            <w:tcMar>
              <w:top w:w="100" w:type="dxa"/>
              <w:bottom w:w="100" w:type="dxa"/>
              <w:left w:w="120" w:type="dxa"/>
              <w:right w:w="120" w:type="dxa"/>
            </w:tcMar>
          </w:tcPr>
          <w:p>
            <w:r>
              <w:rPr>
                <w:sz w:val="18"/>
              </w:rPr>
              <w:t>Cohan et al. (2019)</w:t>
            </w:r>
          </w:p>
        </w:tc>
        <w:tc>
          <w:tcPr>
            <w:tcW w:type="dxa" w:w="2340"/>
            <w:shd w:fill="FFFFFF"/>
            <w:tcMar>
              <w:top w:w="100" w:type="dxa"/>
              <w:bottom w:w="100" w:type="dxa"/>
              <w:left w:w="120" w:type="dxa"/>
              <w:right w:w="120" w:type="dxa"/>
            </w:tcMar>
          </w:tcPr>
          <w:p>
            <w:r>
              <w:rPr>
                <w:sz w:val="18"/>
              </w:rPr>
              <w:t>SciCite benchmark</w:t>
            </w:r>
          </w:p>
        </w:tc>
        <w:tc>
          <w:tcPr>
            <w:tcW w:type="dxa" w:w="2340"/>
            <w:shd w:fill="FFFFFF"/>
            <w:tcMar>
              <w:top w:w="100" w:type="dxa"/>
              <w:bottom w:w="100" w:type="dxa"/>
              <w:left w:w="120" w:type="dxa"/>
              <w:right w:w="120" w:type="dxa"/>
            </w:tcMar>
          </w:tcPr>
          <w:p>
            <w:r>
              <w:rPr>
                <w:sz w:val="18"/>
              </w:rPr>
              <w:t>Established 3-class corpus but neglected model compression and minority 'result' F1 drops.</w:t>
            </w:r>
          </w:p>
        </w:tc>
      </w:tr>
      <w:tr>
        <w:tc>
          <w:tcPr>
            <w:tcW w:type="dxa" w:w="2340"/>
            <w:shd w:fill="F8FAFC"/>
            <w:tcMar>
              <w:top w:w="100" w:type="dxa"/>
              <w:bottom w:w="100" w:type="dxa"/>
              <w:left w:w="120" w:type="dxa"/>
              <w:right w:w="120" w:type="dxa"/>
            </w:tcMar>
          </w:tcPr>
          <w:p>
            <w:r>
              <w:rPr>
                <w:b/>
                <w:sz w:val="18"/>
              </w:rPr>
              <w:t>Citation Intent</w:t>
            </w:r>
          </w:p>
        </w:tc>
        <w:tc>
          <w:tcPr>
            <w:tcW w:type="dxa" w:w="2340"/>
            <w:shd w:fill="F8FAFC"/>
            <w:tcMar>
              <w:top w:w="100" w:type="dxa"/>
              <w:bottom w:w="100" w:type="dxa"/>
              <w:left w:w="120" w:type="dxa"/>
              <w:right w:w="120" w:type="dxa"/>
            </w:tcMar>
          </w:tcPr>
          <w:p>
            <w:r>
              <w:rPr>
                <w:sz w:val="18"/>
              </w:rPr>
              <w:t>Jurgens et al. (2018)</w:t>
            </w:r>
          </w:p>
        </w:tc>
        <w:tc>
          <w:tcPr>
            <w:tcW w:type="dxa" w:w="2340"/>
            <w:shd w:fill="F8FAFC"/>
            <w:tcMar>
              <w:top w:w="100" w:type="dxa"/>
              <w:bottom w:w="100" w:type="dxa"/>
              <w:left w:w="120" w:type="dxa"/>
              <w:right w:w="120" w:type="dxa"/>
            </w:tcMar>
          </w:tcPr>
          <w:p>
            <w:r>
              <w:rPr>
                <w:sz w:val="18"/>
              </w:rPr>
              <w:t>Citation evolution</w:t>
            </w:r>
          </w:p>
        </w:tc>
        <w:tc>
          <w:tcPr>
            <w:tcW w:type="dxa" w:w="2340"/>
            <w:shd w:fill="F8FAFC"/>
            <w:tcMar>
              <w:top w:w="100" w:type="dxa"/>
              <w:bottom w:w="100" w:type="dxa"/>
              <w:left w:w="120" w:type="dxa"/>
              <w:right w:w="120" w:type="dxa"/>
            </w:tcMar>
          </w:tcPr>
          <w:p>
            <w:r>
              <w:rPr>
                <w:sz w:val="18"/>
              </w:rPr>
              <w:t>Proves bibliometric significance but relies on legacy brittle feature engineering.</w:t>
            </w:r>
          </w:p>
        </w:tc>
      </w:tr>
      <w:tr>
        <w:tc>
          <w:tcPr>
            <w:tcW w:type="dxa" w:w="2340"/>
            <w:shd w:fill="FFFFFF"/>
            <w:tcMar>
              <w:top w:w="100" w:type="dxa"/>
              <w:bottom w:w="100" w:type="dxa"/>
              <w:left w:w="120" w:type="dxa"/>
              <w:right w:w="120" w:type="dxa"/>
            </w:tcMar>
          </w:tcPr>
          <w:p>
            <w:r>
              <w:rPr>
                <w:b/>
                <w:sz w:val="18"/>
              </w:rPr>
              <w:t>NLP Robustness</w:t>
            </w:r>
          </w:p>
        </w:tc>
        <w:tc>
          <w:tcPr>
            <w:tcW w:type="dxa" w:w="2340"/>
            <w:shd w:fill="FFFFFF"/>
            <w:tcMar>
              <w:top w:w="100" w:type="dxa"/>
              <w:bottom w:w="100" w:type="dxa"/>
              <w:left w:w="120" w:type="dxa"/>
              <w:right w:w="120" w:type="dxa"/>
            </w:tcMar>
          </w:tcPr>
          <w:p>
            <w:r>
              <w:rPr>
                <w:sz w:val="18"/>
              </w:rPr>
              <w:t>Ribeiro et al. (2020)</w:t>
            </w:r>
          </w:p>
        </w:tc>
        <w:tc>
          <w:tcPr>
            <w:tcW w:type="dxa" w:w="2340"/>
            <w:shd w:fill="FFFFFF"/>
            <w:tcMar>
              <w:top w:w="100" w:type="dxa"/>
              <w:bottom w:w="100" w:type="dxa"/>
              <w:left w:w="120" w:type="dxa"/>
              <w:right w:w="120" w:type="dxa"/>
            </w:tcMar>
          </w:tcPr>
          <w:p>
            <w:r>
              <w:rPr>
                <w:sz w:val="18"/>
              </w:rPr>
              <w:t>CheckList testing</w:t>
            </w:r>
          </w:p>
        </w:tc>
        <w:tc>
          <w:tcPr>
            <w:tcW w:type="dxa" w:w="2340"/>
            <w:shd w:fill="FFFFFF"/>
            <w:tcMar>
              <w:top w:w="100" w:type="dxa"/>
              <w:bottom w:w="100" w:type="dxa"/>
              <w:left w:w="120" w:type="dxa"/>
              <w:right w:w="120" w:type="dxa"/>
            </w:tcMar>
          </w:tcPr>
          <w:p>
            <w:r>
              <w:rPr>
                <w:sz w:val="18"/>
              </w:rPr>
              <w:t>Behavioural testing framework never applied to investigate KD robustness preservation.</w:t>
            </w:r>
          </w:p>
        </w:tc>
      </w:tr>
    </w:tbl>
    <w:p>
      <w:pPr>
        <w:keepNext/>
        <w:spacing w:before="360" w:after="120"/>
      </w:pPr>
      <w:r>
        <w:rPr>
          <w:rFonts w:ascii="Calibri" w:hAnsi="Calibri"/>
          <w:b/>
          <w:color w:val="1B365D"/>
          <w:sz w:val="30"/>
        </w:rPr>
        <w:t>3. Consolidated Statement of the Research Gap</w:t>
      </w:r>
    </w:p>
    <w:tbl>
      <w:tblPr>
        <w:tblW w:type="auto" w:w="0"/>
        <w:jc w:val="center"/>
        <w:tblLook w:firstColumn="1" w:firstRow="1" w:lastColumn="0" w:lastRow="0" w:noHBand="0" w:noVBand="1" w:val="04A0"/>
      </w:tblPr>
      <w:tblGrid>
        <w:gridCol w:w="9360"/>
      </w:tblGrid>
      <w:tr>
        <w:tc>
          <w:tcPr>
            <w:tcW w:type="dxa" w:w="9360"/>
            <w:shd w:fill="EDF2F7"/>
            <w:tcMar>
              <w:top w:w="180" w:type="dxa"/>
              <w:bottom w:w="180" w:type="dxa"/>
              <w:left w:w="200" w:type="dxa"/>
              <w:right w:w="200" w:type="dxa"/>
            </w:tcMar>
          </w:tcPr>
          <w:p>
            <w:pPr>
              <w:spacing w:after="0"/>
            </w:pPr>
            <w:r>
              <w:rPr>
                <w:b/>
                <w:color w:val="1B365D"/>
                <w:sz w:val="22"/>
              </w:rPr>
              <w:t>Consolidated Research Gap:</w:t>
              <w:br/>
            </w:r>
            <w:r>
              <w:rPr>
                <w:i/>
                <w:color w:val="2D3748"/>
                <w:sz w:val="21"/>
              </w:rPr>
              <w:t>While knowledge distillation has demonstrated strong compression capabilities for general-domain NLP benchmarks (such as GLUE and SQuAD), prior literature suffers from three fundamental shortcomings: (1) Distillation is predominantly reported as an isolated, single-method intervention (e.g., standard logit KD) applied to a single arbitrary student size, obscuring comparative trade-offs between logit distillation, intermediate feature alignment, and perturbation augmentation across distinct model capacities (from 66M down to 4M parameters); (2) Existing scientific text classification benchmarks (e.g., SciCite) rely on heavy 110M-parameter models (SciBERT) evaluated solely on aggregate accuracy, masking severe degradation on low-frequency, high-value citation intents (such as 'result' comparison) during compression; and (3) Robustness preservation under compression remains systematically under-examined, with no empirical account of whether distilled compact students maintain invariance to typographic noise, citation marker syntax, and whitespace variations prevalent in automated PDF extraction pipelines. Consequently, there is an absence of a unified, reproducible framework that holistically balances accuracy, minority-class preservation, inference latency, and linguistic robustness for scholarly citation analysis.</w:t>
            </w:r>
          </w:p>
        </w:tc>
      </w:tr>
    </w:tbl>
    <w:p>
      <w:pPr>
        <w:spacing w:after="200"/>
      </w:pPr>
    </w:p>
    <w:p>
      <w:pPr>
        <w:keepNext/>
        <w:spacing w:before="360" w:after="120"/>
      </w:pPr>
      <w:r>
        <w:rPr>
          <w:rFonts w:ascii="Calibri" w:hAnsi="Calibri"/>
          <w:b/>
          <w:color w:val="1B365D"/>
          <w:sz w:val="30"/>
        </w:rPr>
        <w:t>4. Requirement Analysis and Modular System Architecture</w:t>
      </w:r>
    </w:p>
    <w:p>
      <w:r>
        <w:t>To systematically address each identified gap, the project is structured into three cohesive, interdependent modules. Below is the formal requirement specification detailing how each gap is operationalized into rigorous software and machine learning deliverables.</w:t>
      </w:r>
    </w:p>
    <w:p>
      <w:pPr>
        <w:keepNext/>
        <w:spacing w:before="240" w:after="80"/>
      </w:pPr>
      <w:r>
        <w:rPr>
          <w:rFonts w:ascii="Calibri" w:hAnsi="Calibri"/>
          <w:b/>
          <w:color w:val="2B6CB0"/>
          <w:sz w:val="25"/>
        </w:rPr>
        <w:t>Module 1: Reference Model and Evaluation Framework</w:t>
      </w:r>
    </w:p>
    <w:p>
      <w:r>
        <w:t>Module 1 establishes the scientific ground-truth foundation and reference teacher baseline, resolving the compute bottleneck associated with iterative distillation experimentation through decoupled pre-computation.</w:t>
      </w:r>
    </w:p>
    <w:p>
      <w:pPr>
        <w:spacing w:after="80"/>
        <w:ind w:left="288"/>
      </w:pPr>
      <w:r>
        <w:rPr>
          <w:b/>
        </w:rPr>
        <w:t xml:space="preserve">• REQ-1.1: Domain-Adapted Teacher Fine-Tuning: </w:t>
      </w:r>
      <w:r>
        <w:t>Fine-tune the full 110M parameter SciBERT model (allenai/scibert_scivocab_uncased) on the official SciCite training set (8,194 citations) utilizing class-weighted cross-entropy loss and validation macro-F1 early stopping. This yields an authoritative reference achieving 86.55% macro-F1.</w:t>
      </w:r>
    </w:p>
    <w:p>
      <w:pPr>
        <w:spacing w:after="80"/>
        <w:ind w:left="288"/>
      </w:pPr>
      <w:r>
        <w:rPr>
          <w:b/>
        </w:rPr>
        <w:t xml:space="preserve">• REQ-1.2: Pre-Computed Soft-Label Caching Pipeline: </w:t>
      </w:r>
      <w:r>
        <w:t>Design and execute an offline logit inference pipeline that caches the teacher's 3-class continuous logit vectors (z_t) across all 8,194 training examples to disk. This eliminates repeated 110M forward passes during student training, speeding up downstream distillation experiments by &gt;10x and ensuring deterministic teacher labels.</w:t>
      </w:r>
    </w:p>
    <w:p>
      <w:pPr>
        <w:spacing w:after="80"/>
        <w:ind w:left="288"/>
      </w:pPr>
      <w:r>
        <w:rPr>
          <w:b/>
        </w:rPr>
        <w:t xml:space="preserve">• REQ-1.3: Standardized Gold-Standard Evaluation Protocol: </w:t>
      </w:r>
      <w:r>
        <w:t>Enforce strict evaluation isolation on the 300-example held-out test set across all experiments. Compute micro/macro Accuracy, Macro-F1, and isolated Minority-Class F1 for the 'result' intent (which represents only ~14% of citations) to prevent class-imbalance masking.</w:t>
      </w:r>
    </w:p>
    <w:p>
      <w:pPr>
        <w:keepNext/>
        <w:spacing w:before="240" w:after="80"/>
      </w:pPr>
      <w:r>
        <w:rPr>
          <w:rFonts w:ascii="Calibri" w:hAnsi="Calibri"/>
          <w:b/>
          <w:color w:val="2B6CB0"/>
          <w:sz w:val="25"/>
        </w:rPr>
        <w:t>Module 2: Controlled Multi-Method and Multi-Size Knowledge Distillation</w:t>
      </w:r>
    </w:p>
    <w:p>
      <w:r>
        <w:t>Module 2 delivers a controlled multi-dimensional experimental matrix spanning three student capacities and four learning regimes, resolving the single-method / single-size limitation prevalent in prior work.</w:t>
      </w:r>
    </w:p>
    <w:p>
      <w:pPr>
        <w:spacing w:after="80"/>
        <w:ind w:left="288"/>
      </w:pPr>
      <w:r>
        <w:rPr>
          <w:b/>
        </w:rPr>
        <w:t xml:space="preserve">• REQ-2.1: Multi-Scale Student Architecture Suite: </w:t>
      </w:r>
      <w:r>
        <w:t>Implement three distinct student architectures representing progressive compression tiers: DistilBERT (66.9M params, 255 MB, 6 layers), BERT-Mini (11.2M params, 42.6 MB, 4 layers, hidden dim 256), and BERT-Tiny (4.4M params, 16.7 MB, 2 layers, hidden dim 128).</w:t>
      </w:r>
    </w:p>
    <w:p>
      <w:pPr>
        <w:spacing w:after="80"/>
        <w:ind w:left="288"/>
      </w:pPr>
      <w:r>
        <w:rPr>
          <w:b/>
        </w:rPr>
        <w:t xml:space="preserve">• REQ-2.2: Temperature-Scaled Logit Distillation: </w:t>
      </w:r>
      <w:r>
        <w:t>Implement the generalized Hinton distillation loss combining temperature-scaled Kullback-Leibler divergence with ground-truth cross-entropy:</w:t>
        <w:br/>
        <w:t>L_total = α · T² · D_KL(σ(z_s / T) || σ(z_t / T)) + (1 - α) · L_CE(z_s, y)</w:t>
        <w:br/>
        <w:t>Configured with temperature T=3.0 and distillation weight α=0.7 to maximize soft dark knowledge transfer.</w:t>
      </w:r>
    </w:p>
    <w:p>
      <w:pPr>
        <w:spacing w:after="80"/>
        <w:ind w:left="288"/>
      </w:pPr>
      <w:r>
        <w:rPr>
          <w:b/>
        </w:rPr>
        <w:t xml:space="preserve">• REQ-2.3: Intermediate Feature Projection Alignment: </w:t>
      </w:r>
      <w:r>
        <w:t>Implement hidden-state feature distillation bridging dimensional mismatches (e.g., student d_s=256 to teacher d_t=768) via a learnable linear projection layer W_proj. Align attention-masked L2-normalized token embeddings between penultimate layers to guide intermediate representations.</w:t>
      </w:r>
    </w:p>
    <w:p>
      <w:pPr>
        <w:spacing w:after="80"/>
        <w:ind w:left="288"/>
      </w:pPr>
      <w:r>
        <w:rPr>
          <w:b/>
        </w:rPr>
        <w:t xml:space="preserve">• REQ-2.4: Perturbation-Augmented Distillation: </w:t>
      </w:r>
      <w:r>
        <w:t>Integrate dynamic text-augmentation within the distillation loop by introducing semantic-preserving token variations (synonym jitter, subtle typos) to enforce smoother decision boundaries around ambiguous citation contexts.</w:t>
      </w:r>
    </w:p>
    <w:p>
      <w:pPr>
        <w:spacing w:after="80"/>
        <w:ind w:left="288"/>
      </w:pPr>
      <w:r>
        <w:rPr>
          <w:b/>
        </w:rPr>
        <w:t xml:space="preserve">• REQ-2.5: Supervised Baseline Isolation: </w:t>
      </w:r>
      <w:r>
        <w:t>Train pure supervised baselines (DistilBERT Supervised, BERT-Mini Supervised) using identical tokenizers, seeds, and epochs with pure cross-entropy to isolate the exact quantitative performance delta attributable to dark knowledge distillation.</w:t>
      </w:r>
    </w:p>
    <w:p>
      <w:pPr>
        <w:keepNext/>
        <w:spacing w:before="240" w:after="80"/>
      </w:pPr>
      <w:r>
        <w:rPr>
          <w:rFonts w:ascii="Calibri" w:hAnsi="Calibri"/>
          <w:b/>
          <w:color w:val="2B6CB0"/>
          <w:sz w:val="25"/>
        </w:rPr>
        <w:t>Module 3: Accuracy, Computational Efficiency, and Robustness Analysis</w:t>
      </w:r>
    </w:p>
    <w:p>
      <w:r>
        <w:t>Module 3 operationalizes rigorous multi-dimensional evaluation beyond average accuracy, profiling physical hardware latency, calculating Pareto optimality, and quantifying linguistic invariance under controlled perturbations.</w:t>
      </w:r>
    </w:p>
    <w:p>
      <w:pPr>
        <w:spacing w:after="80"/>
        <w:ind w:left="288"/>
      </w:pPr>
      <w:r>
        <w:rPr>
          <w:b/>
        </w:rPr>
        <w:t xml:space="preserve">• REQ-3.1: Hardware-Standardized Latency and Throughput Profiling: </w:t>
      </w:r>
      <w:r>
        <w:t>Measure median single-sample latency (ms), 95th percentile latency (p95), and sustained batch throughput (examples/sec) under standardized CPU benchmarking conditions across 50 warmup iterations and 200 timed inference trials.</w:t>
      </w:r>
    </w:p>
    <w:p>
      <w:pPr>
        <w:spacing w:after="80"/>
        <w:ind w:left="288"/>
      </w:pPr>
      <w:r>
        <w:rPr>
          <w:b/>
        </w:rPr>
        <w:t xml:space="preserve">• REQ-3.2: Formal Pareto Frontier Optimization: </w:t>
      </w:r>
      <w:r>
        <w:t>Compute exact Pareto-optimal subsets across two operational trade-off planes: (1) Storage Footprint vs Macro-F1, and (2) Single-Sample Latency vs Macro-F1. Identify operational sweet spots where no competing configuration achieves superior accuracy with fewer computational resources.</w:t>
      </w:r>
    </w:p>
    <w:p>
      <w:pPr>
        <w:spacing w:after="80"/>
        <w:ind w:left="288"/>
      </w:pPr>
      <w:r>
        <w:rPr>
          <w:b/>
        </w:rPr>
        <w:t xml:space="preserve">• REQ-3.3: Systematic Behavioural Robustness Suite (CheckList-Style): </w:t>
      </w:r>
      <w:r>
        <w:t>Implement 3 controlled perturbation tests applied directly to the holdout test set:</w:t>
        <w:br/>
        <w:t>- Test A (Whitespace/Newline Normalization): Simulates irregular multi-spacing and line wraps generated by PDF document extractors (e.g., Grobid, PyPDF).</w:t>
        <w:br/>
        <w:t>- Test B (Citation Marker Variation): Replaces bracketed numeric markers [1, 2] with author-year syntax (Author et al., 2020) or neutral markers.</w:t>
        <w:br/>
        <w:t>- Test C (Typographic Noise): Injects isolated adjacent-key keyboard typos into non-entity citation context tokens.</w:t>
        <w:br/>
        <w:t>Compute relative F1 degradation percentages and an overall Robustness Preservation Score (%) for every model.</w:t>
      </w:r>
    </w:p>
    <w:p>
      <w:pPr>
        <w:spacing w:after="80"/>
        <w:ind w:left="288"/>
      </w:pPr>
      <w:r>
        <w:rPr>
          <w:b/>
        </w:rPr>
        <w:t xml:space="preserve">• REQ-3.4: Interactive Research Dashboard (Streamlit): </w:t>
      </w:r>
      <w:r>
        <w:t>Deploy a full-featured Streamlit research application providing interactive model inspection, live citation intent prediction with confidence bars, interactive Pareto scatter plots, robustness stress-testing sliders, and downloadable benchmark tables.</w:t>
      </w:r>
    </w:p>
    <w:p>
      <w:pPr>
        <w:keepNext/>
        <w:spacing w:before="360" w:after="120"/>
      </w:pPr>
      <w:r>
        <w:rPr>
          <w:rFonts w:ascii="Calibri" w:hAnsi="Calibri"/>
          <w:b/>
          <w:color w:val="1B365D"/>
          <w:sz w:val="30"/>
        </w:rPr>
        <w:t>5. Traceability Matrix: Literature Gaps to System Modules</w:t>
      </w:r>
    </w:p>
    <w:p>
      <w:r>
        <w:t>The following matrix maps each literature survey gap directly to its corresponding requirement specification and project module.</w:t>
      </w:r>
    </w:p>
    <w:tbl>
      <w:tblPr>
        <w:tblW w:type="auto" w:w="0"/>
        <w:jc w:val="center"/>
        <w:tblLook w:firstColumn="1" w:firstRow="1" w:lastColumn="0" w:lastRow="0" w:noHBand="0" w:noVBand="1" w:val="04A0"/>
        <w:tblBorders>
          <w:top w:val="single" w:sz="6" w:space="0" w:color="CBD5E0"/>
          <w:bottom w:val="single" w:sz="8" w:space="0" w:color="1B365D"/>
          <w:left w:val="none"/>
          <w:right w:val="none"/>
          <w:insideH w:val="single" w:sz="4" w:space="0" w:color="CBD5E0"/>
          <w:insideV w:val="none"/>
        </w:tblBorders>
      </w:tblPr>
      <w:tblGrid>
        <w:gridCol w:w="2340"/>
        <w:gridCol w:w="2340"/>
        <w:gridCol w:w="2340"/>
        <w:gridCol w:w="2340"/>
      </w:tblGrid>
      <w:tr>
        <w:tc>
          <w:tcPr>
            <w:tcW w:type="dxa" w:w="2340"/>
            <w:shd w:fill="1B365D"/>
            <w:tcMar>
              <w:top w:w="140" w:type="dxa"/>
              <w:bottom w:w="140" w:type="dxa"/>
              <w:left w:w="140" w:type="dxa"/>
              <w:right w:w="140" w:type="dxa"/>
            </w:tcMar>
          </w:tcPr>
          <w:p>
            <w:r>
              <w:rPr>
                <w:b/>
                <w:color w:val="FFFFFF"/>
                <w:sz w:val="19"/>
              </w:rPr>
              <w:t>Identified Literature Gap</w:t>
            </w:r>
          </w:p>
        </w:tc>
        <w:tc>
          <w:tcPr>
            <w:tcW w:type="dxa" w:w="2340"/>
            <w:shd w:fill="1B365D"/>
            <w:tcMar>
              <w:top w:w="140" w:type="dxa"/>
              <w:bottom w:w="140" w:type="dxa"/>
              <w:left w:w="140" w:type="dxa"/>
              <w:right w:w="140" w:type="dxa"/>
            </w:tcMar>
          </w:tcPr>
          <w:p>
            <w:r>
              <w:rPr>
                <w:b/>
                <w:color w:val="FFFFFF"/>
                <w:sz w:val="19"/>
              </w:rPr>
              <w:t>Target Module</w:t>
            </w:r>
          </w:p>
        </w:tc>
        <w:tc>
          <w:tcPr>
            <w:tcW w:type="dxa" w:w="2340"/>
            <w:shd w:fill="1B365D"/>
            <w:tcMar>
              <w:top w:w="140" w:type="dxa"/>
              <w:bottom w:w="140" w:type="dxa"/>
              <w:left w:w="140" w:type="dxa"/>
              <w:right w:w="140" w:type="dxa"/>
            </w:tcMar>
          </w:tcPr>
          <w:p>
            <w:r>
              <w:rPr>
                <w:b/>
                <w:color w:val="FFFFFF"/>
                <w:sz w:val="19"/>
              </w:rPr>
              <w:t>System Requirement</w:t>
            </w:r>
          </w:p>
        </w:tc>
        <w:tc>
          <w:tcPr>
            <w:tcW w:type="dxa" w:w="2340"/>
            <w:shd w:fill="1B365D"/>
            <w:tcMar>
              <w:top w:w="140" w:type="dxa"/>
              <w:bottom w:w="140" w:type="dxa"/>
              <w:left w:w="140" w:type="dxa"/>
              <w:right w:w="140" w:type="dxa"/>
            </w:tcMar>
          </w:tcPr>
          <w:p>
            <w:r>
              <w:rPr>
                <w:b/>
                <w:color w:val="FFFFFF"/>
                <w:sz w:val="19"/>
              </w:rPr>
              <w:t>Deliverable Artifact</w:t>
            </w:r>
          </w:p>
        </w:tc>
      </w:tr>
      <w:tr>
        <w:tc>
          <w:tcPr>
            <w:tcW w:type="dxa" w:w="2340"/>
            <w:shd w:fill="FFFFFF"/>
            <w:tcMar>
              <w:top w:w="100" w:type="dxa"/>
              <w:bottom w:w="100" w:type="dxa"/>
              <w:left w:w="120" w:type="dxa"/>
              <w:right w:w="120" w:type="dxa"/>
            </w:tcMar>
          </w:tcPr>
          <w:p>
            <w:r>
              <w:rPr>
                <w:sz w:val="18"/>
              </w:rPr>
              <w:t>Expensive repeated teacher inference during multi-student experimentation</w:t>
            </w:r>
          </w:p>
        </w:tc>
        <w:tc>
          <w:tcPr>
            <w:tcW w:type="dxa" w:w="2340"/>
            <w:shd w:fill="FFFFFF"/>
            <w:tcMar>
              <w:top w:w="100" w:type="dxa"/>
              <w:bottom w:w="100" w:type="dxa"/>
              <w:left w:w="120" w:type="dxa"/>
              <w:right w:w="120" w:type="dxa"/>
            </w:tcMar>
          </w:tcPr>
          <w:p>
            <w:r>
              <w:rPr>
                <w:b/>
                <w:sz w:val="18"/>
              </w:rPr>
              <w:t>Module 1</w:t>
            </w:r>
          </w:p>
        </w:tc>
        <w:tc>
          <w:tcPr>
            <w:tcW w:type="dxa" w:w="2340"/>
            <w:shd w:fill="FFFFFF"/>
            <w:tcMar>
              <w:top w:w="100" w:type="dxa"/>
              <w:bottom w:w="100" w:type="dxa"/>
              <w:left w:w="120" w:type="dxa"/>
              <w:right w:w="120" w:type="dxa"/>
            </w:tcMar>
          </w:tcPr>
          <w:p>
            <w:r>
              <w:rPr>
                <w:sz w:val="18"/>
              </w:rPr>
              <w:t>REQ-1.2 (Soft-label caching)</w:t>
            </w:r>
          </w:p>
        </w:tc>
        <w:tc>
          <w:tcPr>
            <w:tcW w:type="dxa" w:w="2340"/>
            <w:shd w:fill="FFFFFF"/>
            <w:tcMar>
              <w:top w:w="100" w:type="dxa"/>
              <w:bottom w:w="100" w:type="dxa"/>
              <w:left w:w="120" w:type="dxa"/>
              <w:right w:w="120" w:type="dxa"/>
            </w:tcMar>
          </w:tcPr>
          <w:p>
            <w:r>
              <w:rPr>
                <w:sz w:val="18"/>
              </w:rPr>
              <w:t>artifacts/teacher_logits/ (train_logits.pt)</w:t>
            </w:r>
          </w:p>
        </w:tc>
      </w:tr>
      <w:tr>
        <w:tc>
          <w:tcPr>
            <w:tcW w:type="dxa" w:w="2340"/>
            <w:shd w:fill="F8FAFC"/>
            <w:tcMar>
              <w:top w:w="100" w:type="dxa"/>
              <w:bottom w:w="100" w:type="dxa"/>
              <w:left w:w="120" w:type="dxa"/>
              <w:right w:w="120" w:type="dxa"/>
            </w:tcMar>
          </w:tcPr>
          <w:p>
            <w:r>
              <w:rPr>
                <w:sz w:val="18"/>
              </w:rPr>
              <w:t>Absence of specialized domain teacher for citation semantics</w:t>
            </w:r>
          </w:p>
        </w:tc>
        <w:tc>
          <w:tcPr>
            <w:tcW w:type="dxa" w:w="2340"/>
            <w:shd w:fill="F8FAFC"/>
            <w:tcMar>
              <w:top w:w="100" w:type="dxa"/>
              <w:bottom w:w="100" w:type="dxa"/>
              <w:left w:w="120" w:type="dxa"/>
              <w:right w:w="120" w:type="dxa"/>
            </w:tcMar>
          </w:tcPr>
          <w:p>
            <w:r>
              <w:rPr>
                <w:b/>
                <w:sz w:val="18"/>
              </w:rPr>
              <w:t>Module 1</w:t>
            </w:r>
          </w:p>
        </w:tc>
        <w:tc>
          <w:tcPr>
            <w:tcW w:type="dxa" w:w="2340"/>
            <w:shd w:fill="F8FAFC"/>
            <w:tcMar>
              <w:top w:w="100" w:type="dxa"/>
              <w:bottom w:w="100" w:type="dxa"/>
              <w:left w:w="120" w:type="dxa"/>
              <w:right w:w="120" w:type="dxa"/>
            </w:tcMar>
          </w:tcPr>
          <w:p>
            <w:r>
              <w:rPr>
                <w:sz w:val="18"/>
              </w:rPr>
              <w:t>REQ-1.1 (SciBERT fine-tuning)</w:t>
            </w:r>
          </w:p>
        </w:tc>
        <w:tc>
          <w:tcPr>
            <w:tcW w:type="dxa" w:w="2340"/>
            <w:shd w:fill="F8FAFC"/>
            <w:tcMar>
              <w:top w:w="100" w:type="dxa"/>
              <w:bottom w:w="100" w:type="dxa"/>
              <w:left w:w="120" w:type="dxa"/>
              <w:right w:w="120" w:type="dxa"/>
            </w:tcMar>
          </w:tcPr>
          <w:p>
            <w:r>
              <w:rPr>
                <w:sz w:val="18"/>
              </w:rPr>
              <w:t>artifacts/checkpoints/teacher_scibert/</w:t>
            </w:r>
          </w:p>
        </w:tc>
      </w:tr>
      <w:tr>
        <w:tc>
          <w:tcPr>
            <w:tcW w:type="dxa" w:w="2340"/>
            <w:shd w:fill="FFFFFF"/>
            <w:tcMar>
              <w:top w:w="100" w:type="dxa"/>
              <w:bottom w:w="100" w:type="dxa"/>
              <w:left w:w="120" w:type="dxa"/>
              <w:right w:w="120" w:type="dxa"/>
            </w:tcMar>
          </w:tcPr>
          <w:p>
            <w:r>
              <w:rPr>
                <w:sz w:val="18"/>
              </w:rPr>
              <w:t>Single-method &amp; single-size KD reporting in literature</w:t>
            </w:r>
          </w:p>
        </w:tc>
        <w:tc>
          <w:tcPr>
            <w:tcW w:type="dxa" w:w="2340"/>
            <w:shd w:fill="FFFFFF"/>
            <w:tcMar>
              <w:top w:w="100" w:type="dxa"/>
              <w:bottom w:w="100" w:type="dxa"/>
              <w:left w:w="120" w:type="dxa"/>
              <w:right w:w="120" w:type="dxa"/>
            </w:tcMar>
          </w:tcPr>
          <w:p>
            <w:r>
              <w:rPr>
                <w:b/>
                <w:sz w:val="18"/>
              </w:rPr>
              <w:t>Module 2</w:t>
            </w:r>
          </w:p>
        </w:tc>
        <w:tc>
          <w:tcPr>
            <w:tcW w:type="dxa" w:w="2340"/>
            <w:shd w:fill="FFFFFF"/>
            <w:tcMar>
              <w:top w:w="100" w:type="dxa"/>
              <w:bottom w:w="100" w:type="dxa"/>
              <w:left w:w="120" w:type="dxa"/>
              <w:right w:w="120" w:type="dxa"/>
            </w:tcMar>
          </w:tcPr>
          <w:p>
            <w:r>
              <w:rPr>
                <w:sz w:val="18"/>
              </w:rPr>
              <w:t>REQ-2.1 to 2.4 (Multi-model KD)</w:t>
            </w:r>
          </w:p>
        </w:tc>
        <w:tc>
          <w:tcPr>
            <w:tcW w:type="dxa" w:w="2340"/>
            <w:shd w:fill="FFFFFF"/>
            <w:tcMar>
              <w:top w:w="100" w:type="dxa"/>
              <w:bottom w:w="100" w:type="dxa"/>
              <w:left w:w="120" w:type="dxa"/>
              <w:right w:w="120" w:type="dxa"/>
            </w:tcMar>
          </w:tcPr>
          <w:p>
            <w:r>
              <w:rPr>
                <w:sz w:val="18"/>
              </w:rPr>
              <w:t>8 checkpoints (DistilBERT, Mini, Tiny)</w:t>
            </w:r>
          </w:p>
        </w:tc>
      </w:tr>
      <w:tr>
        <w:tc>
          <w:tcPr>
            <w:tcW w:type="dxa" w:w="2340"/>
            <w:shd w:fill="F8FAFC"/>
            <w:tcMar>
              <w:top w:w="100" w:type="dxa"/>
              <w:bottom w:w="100" w:type="dxa"/>
              <w:left w:w="120" w:type="dxa"/>
              <w:right w:w="120" w:type="dxa"/>
            </w:tcMar>
          </w:tcPr>
          <w:p>
            <w:r>
              <w:rPr>
                <w:sz w:val="18"/>
              </w:rPr>
              <w:t>Neglect of minority 'result' intent degradation under compression</w:t>
            </w:r>
          </w:p>
        </w:tc>
        <w:tc>
          <w:tcPr>
            <w:tcW w:type="dxa" w:w="2340"/>
            <w:shd w:fill="F8FAFC"/>
            <w:tcMar>
              <w:top w:w="100" w:type="dxa"/>
              <w:bottom w:w="100" w:type="dxa"/>
              <w:left w:w="120" w:type="dxa"/>
              <w:right w:w="120" w:type="dxa"/>
            </w:tcMar>
          </w:tcPr>
          <w:p>
            <w:r>
              <w:rPr>
                <w:b/>
                <w:sz w:val="18"/>
              </w:rPr>
              <w:t>Module 1 &amp; 2</w:t>
            </w:r>
          </w:p>
        </w:tc>
        <w:tc>
          <w:tcPr>
            <w:tcW w:type="dxa" w:w="2340"/>
            <w:shd w:fill="F8FAFC"/>
            <w:tcMar>
              <w:top w:w="100" w:type="dxa"/>
              <w:bottom w:w="100" w:type="dxa"/>
              <w:left w:w="120" w:type="dxa"/>
              <w:right w:w="120" w:type="dxa"/>
            </w:tcMar>
          </w:tcPr>
          <w:p>
            <w:r>
              <w:rPr>
                <w:sz w:val="18"/>
              </w:rPr>
              <w:t>REQ-1.3 &amp; 2.5 (Minority F1)</w:t>
            </w:r>
          </w:p>
        </w:tc>
        <w:tc>
          <w:tcPr>
            <w:tcW w:type="dxa" w:w="2340"/>
            <w:shd w:fill="F8FAFC"/>
            <w:tcMar>
              <w:top w:w="100" w:type="dxa"/>
              <w:bottom w:w="100" w:type="dxa"/>
              <w:left w:w="120" w:type="dxa"/>
              <w:right w:w="120" w:type="dxa"/>
            </w:tcMar>
          </w:tcPr>
          <w:p>
            <w:r>
              <w:rPr>
                <w:sz w:val="18"/>
              </w:rPr>
              <w:t>Per-class metrics in results/manifest.json</w:t>
            </w:r>
          </w:p>
        </w:tc>
      </w:tr>
      <w:tr>
        <w:tc>
          <w:tcPr>
            <w:tcW w:type="dxa" w:w="2340"/>
            <w:shd w:fill="FFFFFF"/>
            <w:tcMar>
              <w:top w:w="100" w:type="dxa"/>
              <w:bottom w:w="100" w:type="dxa"/>
              <w:left w:w="120" w:type="dxa"/>
              <w:right w:w="120" w:type="dxa"/>
            </w:tcMar>
          </w:tcPr>
          <w:p>
            <w:r>
              <w:rPr>
                <w:sz w:val="18"/>
              </w:rPr>
              <w:t>Lack of standardized latency/throughput measurements</w:t>
            </w:r>
          </w:p>
        </w:tc>
        <w:tc>
          <w:tcPr>
            <w:tcW w:type="dxa" w:w="2340"/>
            <w:shd w:fill="FFFFFF"/>
            <w:tcMar>
              <w:top w:w="100" w:type="dxa"/>
              <w:bottom w:w="100" w:type="dxa"/>
              <w:left w:w="120" w:type="dxa"/>
              <w:right w:w="120" w:type="dxa"/>
            </w:tcMar>
          </w:tcPr>
          <w:p>
            <w:r>
              <w:rPr>
                <w:b/>
                <w:sz w:val="18"/>
              </w:rPr>
              <w:t>Module 3</w:t>
            </w:r>
          </w:p>
        </w:tc>
        <w:tc>
          <w:tcPr>
            <w:tcW w:type="dxa" w:w="2340"/>
            <w:shd w:fill="FFFFFF"/>
            <w:tcMar>
              <w:top w:w="100" w:type="dxa"/>
              <w:bottom w:w="100" w:type="dxa"/>
              <w:left w:w="120" w:type="dxa"/>
              <w:right w:w="120" w:type="dxa"/>
            </w:tcMar>
          </w:tcPr>
          <w:p>
            <w:r>
              <w:rPr>
                <w:sz w:val="18"/>
              </w:rPr>
              <w:t>REQ-3.1 &amp; 3.2 (Benchmarking)</w:t>
            </w:r>
          </w:p>
        </w:tc>
        <w:tc>
          <w:tcPr>
            <w:tcW w:type="dxa" w:w="2340"/>
            <w:shd w:fill="FFFFFF"/>
            <w:tcMar>
              <w:top w:w="100" w:type="dxa"/>
              <w:bottom w:w="100" w:type="dxa"/>
              <w:left w:w="120" w:type="dxa"/>
              <w:right w:w="120" w:type="dxa"/>
            </w:tcMar>
          </w:tcPr>
          <w:p>
            <w:r>
              <w:rPr>
                <w:sz w:val="18"/>
              </w:rPr>
              <w:t>results/benchmark_table.csv &amp; Pareto plots</w:t>
            </w:r>
          </w:p>
        </w:tc>
      </w:tr>
      <w:tr>
        <w:tc>
          <w:tcPr>
            <w:tcW w:type="dxa" w:w="2340"/>
            <w:shd w:fill="F8FAFC"/>
            <w:tcMar>
              <w:top w:w="100" w:type="dxa"/>
              <w:bottom w:w="100" w:type="dxa"/>
              <w:left w:w="120" w:type="dxa"/>
              <w:right w:w="120" w:type="dxa"/>
            </w:tcMar>
          </w:tcPr>
          <w:p>
            <w:r>
              <w:rPr>
                <w:sz w:val="18"/>
              </w:rPr>
              <w:t>Unknown robustness preservation under real-world text shifts</w:t>
            </w:r>
          </w:p>
        </w:tc>
        <w:tc>
          <w:tcPr>
            <w:tcW w:type="dxa" w:w="2340"/>
            <w:shd w:fill="F8FAFC"/>
            <w:tcMar>
              <w:top w:w="100" w:type="dxa"/>
              <w:bottom w:w="100" w:type="dxa"/>
              <w:left w:w="120" w:type="dxa"/>
              <w:right w:w="120" w:type="dxa"/>
            </w:tcMar>
          </w:tcPr>
          <w:p>
            <w:r>
              <w:rPr>
                <w:b/>
                <w:sz w:val="18"/>
              </w:rPr>
              <w:t>Module 3</w:t>
            </w:r>
          </w:p>
        </w:tc>
        <w:tc>
          <w:tcPr>
            <w:tcW w:type="dxa" w:w="2340"/>
            <w:shd w:fill="F8FAFC"/>
            <w:tcMar>
              <w:top w:w="100" w:type="dxa"/>
              <w:bottom w:w="100" w:type="dxa"/>
              <w:left w:w="120" w:type="dxa"/>
              <w:right w:w="120" w:type="dxa"/>
            </w:tcMar>
          </w:tcPr>
          <w:p>
            <w:r>
              <w:rPr>
                <w:sz w:val="18"/>
              </w:rPr>
              <w:t>REQ-3.3 (Perturbation tests)</w:t>
            </w:r>
          </w:p>
        </w:tc>
        <w:tc>
          <w:tcPr>
            <w:tcW w:type="dxa" w:w="2340"/>
            <w:shd w:fill="F8FAFC"/>
            <w:tcMar>
              <w:top w:w="100" w:type="dxa"/>
              <w:bottom w:w="100" w:type="dxa"/>
              <w:left w:w="120" w:type="dxa"/>
              <w:right w:w="120" w:type="dxa"/>
            </w:tcMar>
          </w:tcPr>
          <w:p>
            <w:r>
              <w:rPr>
                <w:sz w:val="18"/>
              </w:rPr>
              <w:t>results/robustness_table.csv &amp; stress-testing UI</w:t>
            </w:r>
          </w:p>
        </w:tc>
      </w:tr>
      <w:tr>
        <w:tc>
          <w:tcPr>
            <w:tcW w:type="dxa" w:w="2340"/>
            <w:shd w:fill="FFFFFF"/>
            <w:tcMar>
              <w:top w:w="100" w:type="dxa"/>
              <w:bottom w:w="100" w:type="dxa"/>
              <w:left w:w="120" w:type="dxa"/>
              <w:right w:w="120" w:type="dxa"/>
            </w:tcMar>
          </w:tcPr>
          <w:p>
            <w:r>
              <w:rPr>
                <w:sz w:val="18"/>
              </w:rPr>
              <w:t>Lack of interactive exploration and deployment interfaces</w:t>
            </w:r>
          </w:p>
        </w:tc>
        <w:tc>
          <w:tcPr>
            <w:tcW w:type="dxa" w:w="2340"/>
            <w:shd w:fill="FFFFFF"/>
            <w:tcMar>
              <w:top w:w="100" w:type="dxa"/>
              <w:bottom w:w="100" w:type="dxa"/>
              <w:left w:w="120" w:type="dxa"/>
              <w:right w:w="120" w:type="dxa"/>
            </w:tcMar>
          </w:tcPr>
          <w:p>
            <w:r>
              <w:rPr>
                <w:b/>
                <w:sz w:val="18"/>
              </w:rPr>
              <w:t>Module 3</w:t>
            </w:r>
          </w:p>
        </w:tc>
        <w:tc>
          <w:tcPr>
            <w:tcW w:type="dxa" w:w="2340"/>
            <w:shd w:fill="FFFFFF"/>
            <w:tcMar>
              <w:top w:w="100" w:type="dxa"/>
              <w:bottom w:w="100" w:type="dxa"/>
              <w:left w:w="120" w:type="dxa"/>
              <w:right w:w="120" w:type="dxa"/>
            </w:tcMar>
          </w:tcPr>
          <w:p>
            <w:r>
              <w:rPr>
                <w:sz w:val="18"/>
              </w:rPr>
              <w:t>REQ-3.4 (Streamlit dashboard)</w:t>
            </w:r>
          </w:p>
        </w:tc>
        <w:tc>
          <w:tcPr>
            <w:tcW w:type="dxa" w:w="2340"/>
            <w:shd w:fill="FFFFFF"/>
            <w:tcMar>
              <w:top w:w="100" w:type="dxa"/>
              <w:bottom w:w="100" w:type="dxa"/>
              <w:left w:w="120" w:type="dxa"/>
              <w:right w:w="120" w:type="dxa"/>
            </w:tcMar>
          </w:tcPr>
          <w:p>
            <w:r>
              <w:rPr>
                <w:sz w:val="18"/>
              </w:rPr>
              <w:t>app.py &amp; 5 interactive UI pages</w:t>
            </w:r>
          </w:p>
        </w:tc>
      </w:tr>
    </w:tbl>
    <w:p>
      <w:pPr>
        <w:keepNext/>
        <w:spacing w:before="360" w:after="120"/>
      </w:pPr>
      <w:r>
        <w:rPr>
          <w:rFonts w:ascii="Calibri" w:hAnsi="Calibri"/>
          <w:b/>
          <w:color w:val="1B365D"/>
          <w:sz w:val="30"/>
        </w:rPr>
        <w:t>6. Experimental Proof of Concept &amp; Benchmark Verification</w:t>
      </w:r>
    </w:p>
    <w:p>
      <w:r>
        <w:t>To validate the requirement analysis, the full experimental framework was trained and benchmarked on the held-out SciCite test partition. The measured results across all 8 experimental models confirm the validity of the research design:</w:t>
      </w:r>
    </w:p>
    <w:tbl>
      <w:tblPr>
        <w:tblW w:type="auto" w:w="0"/>
        <w:jc w:val="center"/>
        <w:tblLook w:firstColumn="1" w:firstRow="1" w:lastColumn="0" w:lastRow="0" w:noHBand="0" w:noVBand="1" w:val="04A0"/>
        <w:tblBorders>
          <w:top w:val="single" w:sz="6" w:space="0" w:color="CBD5E0"/>
          <w:bottom w:val="single" w:sz="8" w:space="0" w:color="1B365D"/>
          <w:left w:val="none"/>
          <w:right w:val="none"/>
          <w:insideH w:val="single" w:sz="4" w:space="0" w:color="CBD5E0"/>
          <w:insideV w:val="none"/>
        </w:tblBorders>
      </w:tblPr>
      <w:tblGrid>
        <w:gridCol w:w="1560"/>
        <w:gridCol w:w="1560"/>
        <w:gridCol w:w="1560"/>
        <w:gridCol w:w="1560"/>
        <w:gridCol w:w="1560"/>
        <w:gridCol w:w="1560"/>
      </w:tblGrid>
      <w:tr>
        <w:tc>
          <w:tcPr>
            <w:tcW w:type="dxa" w:w="1560"/>
            <w:shd w:fill="1B365D"/>
            <w:tcMar>
              <w:top w:w="120" w:type="dxa"/>
              <w:bottom w:w="120" w:type="dxa"/>
              <w:left w:w="120" w:type="dxa"/>
              <w:right w:w="120" w:type="dxa"/>
            </w:tcMar>
          </w:tcPr>
          <w:p>
            <w:r>
              <w:rPr>
                <w:b/>
                <w:color w:val="FFFFFF"/>
                <w:sz w:val="19"/>
              </w:rPr>
              <w:t>Model Alias</w:t>
            </w:r>
          </w:p>
        </w:tc>
        <w:tc>
          <w:tcPr>
            <w:tcW w:type="dxa" w:w="1560"/>
            <w:shd w:fill="1B365D"/>
            <w:tcMar>
              <w:top w:w="120" w:type="dxa"/>
              <w:bottom w:w="120" w:type="dxa"/>
              <w:left w:w="120" w:type="dxa"/>
              <w:right w:w="120" w:type="dxa"/>
            </w:tcMar>
          </w:tcPr>
          <w:p>
            <w:r>
              <w:rPr>
                <w:b/>
                <w:color w:val="FFFFFF"/>
                <w:sz w:val="19"/>
              </w:rPr>
              <w:t>Method</w:t>
            </w:r>
          </w:p>
        </w:tc>
        <w:tc>
          <w:tcPr>
            <w:tcW w:type="dxa" w:w="1560"/>
            <w:shd w:fill="1B365D"/>
            <w:tcMar>
              <w:top w:w="120" w:type="dxa"/>
              <w:bottom w:w="120" w:type="dxa"/>
              <w:left w:w="120" w:type="dxa"/>
              <w:right w:w="120" w:type="dxa"/>
            </w:tcMar>
          </w:tcPr>
          <w:p>
            <w:r>
              <w:rPr>
                <w:b/>
                <w:color w:val="FFFFFF"/>
                <w:sz w:val="19"/>
              </w:rPr>
              <w:t>Total Params</w:t>
            </w:r>
          </w:p>
        </w:tc>
        <w:tc>
          <w:tcPr>
            <w:tcW w:type="dxa" w:w="1560"/>
            <w:shd w:fill="1B365D"/>
            <w:tcMar>
              <w:top w:w="120" w:type="dxa"/>
              <w:bottom w:w="120" w:type="dxa"/>
              <w:left w:w="120" w:type="dxa"/>
              <w:right w:w="120" w:type="dxa"/>
            </w:tcMar>
          </w:tcPr>
          <w:p>
            <w:r>
              <w:rPr>
                <w:b/>
                <w:color w:val="FFFFFF"/>
                <w:sz w:val="19"/>
              </w:rPr>
              <w:t>Macro-F1</w:t>
            </w:r>
          </w:p>
        </w:tc>
        <w:tc>
          <w:tcPr>
            <w:tcW w:type="dxa" w:w="1560"/>
            <w:shd w:fill="1B365D"/>
            <w:tcMar>
              <w:top w:w="120" w:type="dxa"/>
              <w:bottom w:w="120" w:type="dxa"/>
              <w:left w:w="120" w:type="dxa"/>
              <w:right w:w="120" w:type="dxa"/>
            </w:tcMar>
          </w:tcPr>
          <w:p>
            <w:r>
              <w:rPr>
                <w:b/>
                <w:color w:val="FFFFFF"/>
                <w:sz w:val="19"/>
              </w:rPr>
              <w:t>Minority F1</w:t>
            </w:r>
          </w:p>
        </w:tc>
        <w:tc>
          <w:tcPr>
            <w:tcW w:type="dxa" w:w="1560"/>
            <w:shd w:fill="1B365D"/>
            <w:tcMar>
              <w:top w:w="120" w:type="dxa"/>
              <w:bottom w:w="120" w:type="dxa"/>
              <w:left w:w="120" w:type="dxa"/>
              <w:right w:w="120" w:type="dxa"/>
            </w:tcMar>
          </w:tcPr>
          <w:p>
            <w:r>
              <w:rPr>
                <w:b/>
                <w:color w:val="FFFFFF"/>
                <w:sz w:val="19"/>
              </w:rPr>
              <w:t>Latency (CPU)</w:t>
            </w:r>
          </w:p>
        </w:tc>
      </w:tr>
      <w:tr>
        <w:tc>
          <w:tcPr>
            <w:tcW w:type="dxa" w:w="1560"/>
            <w:shd w:fill="FFFFFF"/>
            <w:tcMar>
              <w:top w:w="90" w:type="dxa"/>
              <w:bottom w:w="90" w:type="dxa"/>
              <w:left w:w="100" w:type="dxa"/>
              <w:right w:w="100" w:type="dxa"/>
            </w:tcMar>
          </w:tcPr>
          <w:p>
            <w:r>
              <w:rPr>
                <w:b/>
                <w:sz w:val="18"/>
              </w:rPr>
              <w:t>SciBERT (Teacher)</w:t>
            </w:r>
          </w:p>
        </w:tc>
        <w:tc>
          <w:tcPr>
            <w:tcW w:type="dxa" w:w="1560"/>
            <w:shd w:fill="FFFFFF"/>
            <w:tcMar>
              <w:top w:w="90" w:type="dxa"/>
              <w:bottom w:w="90" w:type="dxa"/>
              <w:left w:w="100" w:type="dxa"/>
              <w:right w:w="100" w:type="dxa"/>
            </w:tcMar>
          </w:tcPr>
          <w:p>
            <w:r>
              <w:rPr>
                <w:sz w:val="18"/>
              </w:rPr>
              <w:t>Reference</w:t>
            </w:r>
          </w:p>
        </w:tc>
        <w:tc>
          <w:tcPr>
            <w:tcW w:type="dxa" w:w="1560"/>
            <w:shd w:fill="FFFFFF"/>
            <w:tcMar>
              <w:top w:w="90" w:type="dxa"/>
              <w:bottom w:w="90" w:type="dxa"/>
              <w:left w:w="100" w:type="dxa"/>
              <w:right w:w="100" w:type="dxa"/>
            </w:tcMar>
          </w:tcPr>
          <w:p>
            <w:r>
              <w:rPr>
                <w:sz w:val="18"/>
              </w:rPr>
              <w:t>109.9M</w:t>
            </w:r>
          </w:p>
        </w:tc>
        <w:tc>
          <w:tcPr>
            <w:tcW w:type="dxa" w:w="1560"/>
            <w:shd w:fill="FFFFFF"/>
            <w:tcMar>
              <w:top w:w="90" w:type="dxa"/>
              <w:bottom w:w="90" w:type="dxa"/>
              <w:left w:w="100" w:type="dxa"/>
              <w:right w:w="100" w:type="dxa"/>
            </w:tcMar>
          </w:tcPr>
          <w:p>
            <w:r>
              <w:rPr>
                <w:sz w:val="18"/>
              </w:rPr>
              <w:t>0.8655</w:t>
            </w:r>
          </w:p>
        </w:tc>
        <w:tc>
          <w:tcPr>
            <w:tcW w:type="dxa" w:w="1560"/>
            <w:shd w:fill="FFFFFF"/>
            <w:tcMar>
              <w:top w:w="90" w:type="dxa"/>
              <w:bottom w:w="90" w:type="dxa"/>
              <w:left w:w="100" w:type="dxa"/>
              <w:right w:w="100" w:type="dxa"/>
            </w:tcMar>
          </w:tcPr>
          <w:p>
            <w:r>
              <w:rPr>
                <w:sz w:val="18"/>
              </w:rPr>
              <w:t>0.8602</w:t>
            </w:r>
          </w:p>
        </w:tc>
        <w:tc>
          <w:tcPr>
            <w:tcW w:type="dxa" w:w="1560"/>
            <w:shd w:fill="FFFFFF"/>
            <w:tcMar>
              <w:top w:w="90" w:type="dxa"/>
              <w:bottom w:w="90" w:type="dxa"/>
              <w:left w:w="100" w:type="dxa"/>
              <w:right w:w="100" w:type="dxa"/>
            </w:tcMar>
          </w:tcPr>
          <w:p>
            <w:r>
              <w:rPr>
                <w:sz w:val="18"/>
              </w:rPr>
              <w:t>143.59 ms</w:t>
            </w:r>
          </w:p>
        </w:tc>
      </w:tr>
      <w:tr>
        <w:tc>
          <w:tcPr>
            <w:tcW w:type="dxa" w:w="1560"/>
            <w:shd w:fill="F8FAFC"/>
            <w:tcMar>
              <w:top w:w="90" w:type="dxa"/>
              <w:bottom w:w="90" w:type="dxa"/>
              <w:left w:w="100" w:type="dxa"/>
              <w:right w:w="100" w:type="dxa"/>
            </w:tcMar>
          </w:tcPr>
          <w:p>
            <w:r>
              <w:rPr>
                <w:b/>
                <w:sz w:val="18"/>
              </w:rPr>
              <w:t>DistilBERT</w:t>
            </w:r>
          </w:p>
        </w:tc>
        <w:tc>
          <w:tcPr>
            <w:tcW w:type="dxa" w:w="1560"/>
            <w:shd w:fill="F8FAFC"/>
            <w:tcMar>
              <w:top w:w="90" w:type="dxa"/>
              <w:bottom w:w="90" w:type="dxa"/>
              <w:left w:w="100" w:type="dxa"/>
              <w:right w:w="100" w:type="dxa"/>
            </w:tcMar>
          </w:tcPr>
          <w:p>
            <w:r>
              <w:rPr>
                <w:sz w:val="18"/>
              </w:rPr>
              <w:t>Logit KD</w:t>
            </w:r>
          </w:p>
        </w:tc>
        <w:tc>
          <w:tcPr>
            <w:tcW w:type="dxa" w:w="1560"/>
            <w:shd w:fill="F8FAFC"/>
            <w:tcMar>
              <w:top w:w="90" w:type="dxa"/>
              <w:bottom w:w="90" w:type="dxa"/>
              <w:left w:w="100" w:type="dxa"/>
              <w:right w:w="100" w:type="dxa"/>
            </w:tcMar>
          </w:tcPr>
          <w:p>
            <w:r>
              <w:rPr>
                <w:sz w:val="18"/>
              </w:rPr>
              <w:t>66.9M</w:t>
            </w:r>
          </w:p>
        </w:tc>
        <w:tc>
          <w:tcPr>
            <w:tcW w:type="dxa" w:w="1560"/>
            <w:shd w:fill="F8FAFC"/>
            <w:tcMar>
              <w:top w:w="90" w:type="dxa"/>
              <w:bottom w:w="90" w:type="dxa"/>
              <w:left w:w="100" w:type="dxa"/>
              <w:right w:w="100" w:type="dxa"/>
            </w:tcMar>
          </w:tcPr>
          <w:p>
            <w:r>
              <w:rPr>
                <w:sz w:val="18"/>
              </w:rPr>
              <w:t>0.8684</w:t>
            </w:r>
          </w:p>
        </w:tc>
        <w:tc>
          <w:tcPr>
            <w:tcW w:type="dxa" w:w="1560"/>
            <w:shd w:fill="F8FAFC"/>
            <w:tcMar>
              <w:top w:w="90" w:type="dxa"/>
              <w:bottom w:w="90" w:type="dxa"/>
              <w:left w:w="100" w:type="dxa"/>
              <w:right w:w="100" w:type="dxa"/>
            </w:tcMar>
          </w:tcPr>
          <w:p>
            <w:r>
              <w:rPr>
                <w:sz w:val="18"/>
              </w:rPr>
              <w:t>0.8043</w:t>
            </w:r>
          </w:p>
        </w:tc>
        <w:tc>
          <w:tcPr>
            <w:tcW w:type="dxa" w:w="1560"/>
            <w:shd w:fill="F8FAFC"/>
            <w:tcMar>
              <w:top w:w="90" w:type="dxa"/>
              <w:bottom w:w="90" w:type="dxa"/>
              <w:left w:w="100" w:type="dxa"/>
              <w:right w:w="100" w:type="dxa"/>
            </w:tcMar>
          </w:tcPr>
          <w:p>
            <w:r>
              <w:rPr>
                <w:sz w:val="18"/>
              </w:rPr>
              <w:t>68.61 ms</w:t>
            </w:r>
          </w:p>
        </w:tc>
      </w:tr>
      <w:tr>
        <w:tc>
          <w:tcPr>
            <w:tcW w:type="dxa" w:w="1560"/>
            <w:shd w:fill="FFFFFF"/>
            <w:tcMar>
              <w:top w:w="90" w:type="dxa"/>
              <w:bottom w:w="90" w:type="dxa"/>
              <w:left w:w="100" w:type="dxa"/>
              <w:right w:w="100" w:type="dxa"/>
            </w:tcMar>
          </w:tcPr>
          <w:p>
            <w:r>
              <w:rPr>
                <w:b/>
                <w:sz w:val="18"/>
              </w:rPr>
              <w:t>DistilBERT</w:t>
            </w:r>
          </w:p>
        </w:tc>
        <w:tc>
          <w:tcPr>
            <w:tcW w:type="dxa" w:w="1560"/>
            <w:shd w:fill="FFFFFF"/>
            <w:tcMar>
              <w:top w:w="90" w:type="dxa"/>
              <w:bottom w:w="90" w:type="dxa"/>
              <w:left w:w="100" w:type="dxa"/>
              <w:right w:w="100" w:type="dxa"/>
            </w:tcMar>
          </w:tcPr>
          <w:p>
            <w:r>
              <w:rPr>
                <w:sz w:val="18"/>
              </w:rPr>
              <w:t>Supervised</w:t>
            </w:r>
          </w:p>
        </w:tc>
        <w:tc>
          <w:tcPr>
            <w:tcW w:type="dxa" w:w="1560"/>
            <w:shd w:fill="FFFFFF"/>
            <w:tcMar>
              <w:top w:w="90" w:type="dxa"/>
              <w:bottom w:w="90" w:type="dxa"/>
              <w:left w:w="100" w:type="dxa"/>
              <w:right w:w="100" w:type="dxa"/>
            </w:tcMar>
          </w:tcPr>
          <w:p>
            <w:r>
              <w:rPr>
                <w:sz w:val="18"/>
              </w:rPr>
              <w:t>66.9M</w:t>
            </w:r>
          </w:p>
        </w:tc>
        <w:tc>
          <w:tcPr>
            <w:tcW w:type="dxa" w:w="1560"/>
            <w:shd w:fill="FFFFFF"/>
            <w:tcMar>
              <w:top w:w="90" w:type="dxa"/>
              <w:bottom w:w="90" w:type="dxa"/>
              <w:left w:w="100" w:type="dxa"/>
              <w:right w:w="100" w:type="dxa"/>
            </w:tcMar>
          </w:tcPr>
          <w:p>
            <w:r>
              <w:rPr>
                <w:sz w:val="18"/>
              </w:rPr>
              <w:t>0.8335</w:t>
            </w:r>
          </w:p>
        </w:tc>
        <w:tc>
          <w:tcPr>
            <w:tcW w:type="dxa" w:w="1560"/>
            <w:shd w:fill="FFFFFF"/>
            <w:tcMar>
              <w:top w:w="90" w:type="dxa"/>
              <w:bottom w:w="90" w:type="dxa"/>
              <w:left w:w="100" w:type="dxa"/>
              <w:right w:w="100" w:type="dxa"/>
            </w:tcMar>
          </w:tcPr>
          <w:p>
            <w:r>
              <w:rPr>
                <w:sz w:val="18"/>
              </w:rPr>
              <w:t>0.7447</w:t>
            </w:r>
          </w:p>
        </w:tc>
        <w:tc>
          <w:tcPr>
            <w:tcW w:type="dxa" w:w="1560"/>
            <w:shd w:fill="FFFFFF"/>
            <w:tcMar>
              <w:top w:w="90" w:type="dxa"/>
              <w:bottom w:w="90" w:type="dxa"/>
              <w:left w:w="100" w:type="dxa"/>
              <w:right w:w="100" w:type="dxa"/>
            </w:tcMar>
          </w:tcPr>
          <w:p>
            <w:r>
              <w:rPr>
                <w:sz w:val="18"/>
              </w:rPr>
              <w:t>65.52 ms</w:t>
            </w:r>
          </w:p>
        </w:tc>
      </w:tr>
      <w:tr>
        <w:tc>
          <w:tcPr>
            <w:tcW w:type="dxa" w:w="1560"/>
            <w:shd w:fill="F8FAFC"/>
            <w:tcMar>
              <w:top w:w="90" w:type="dxa"/>
              <w:bottom w:w="90" w:type="dxa"/>
              <w:left w:w="100" w:type="dxa"/>
              <w:right w:w="100" w:type="dxa"/>
            </w:tcMar>
          </w:tcPr>
          <w:p>
            <w:r>
              <w:rPr>
                <w:b/>
                <w:sz w:val="18"/>
              </w:rPr>
              <w:t>BERT-Mini</w:t>
            </w:r>
          </w:p>
        </w:tc>
        <w:tc>
          <w:tcPr>
            <w:tcW w:type="dxa" w:w="1560"/>
            <w:shd w:fill="F8FAFC"/>
            <w:tcMar>
              <w:top w:w="90" w:type="dxa"/>
              <w:bottom w:w="90" w:type="dxa"/>
              <w:left w:w="100" w:type="dxa"/>
              <w:right w:w="100" w:type="dxa"/>
            </w:tcMar>
          </w:tcPr>
          <w:p>
            <w:r>
              <w:rPr>
                <w:sz w:val="18"/>
              </w:rPr>
              <w:t>Supervised</w:t>
            </w:r>
          </w:p>
        </w:tc>
        <w:tc>
          <w:tcPr>
            <w:tcW w:type="dxa" w:w="1560"/>
            <w:shd w:fill="F8FAFC"/>
            <w:tcMar>
              <w:top w:w="90" w:type="dxa"/>
              <w:bottom w:w="90" w:type="dxa"/>
              <w:left w:w="100" w:type="dxa"/>
              <w:right w:w="100" w:type="dxa"/>
            </w:tcMar>
          </w:tcPr>
          <w:p>
            <w:r>
              <w:rPr>
                <w:sz w:val="18"/>
              </w:rPr>
              <w:t>11.2M</w:t>
            </w:r>
          </w:p>
        </w:tc>
        <w:tc>
          <w:tcPr>
            <w:tcW w:type="dxa" w:w="1560"/>
            <w:shd w:fill="F8FAFC"/>
            <w:tcMar>
              <w:top w:w="90" w:type="dxa"/>
              <w:bottom w:w="90" w:type="dxa"/>
              <w:left w:w="100" w:type="dxa"/>
              <w:right w:w="100" w:type="dxa"/>
            </w:tcMar>
          </w:tcPr>
          <w:p>
            <w:r>
              <w:rPr>
                <w:sz w:val="18"/>
              </w:rPr>
              <w:t>0.7702</w:t>
            </w:r>
          </w:p>
        </w:tc>
        <w:tc>
          <w:tcPr>
            <w:tcW w:type="dxa" w:w="1560"/>
            <w:shd w:fill="F8FAFC"/>
            <w:tcMar>
              <w:top w:w="90" w:type="dxa"/>
              <w:bottom w:w="90" w:type="dxa"/>
              <w:left w:w="100" w:type="dxa"/>
              <w:right w:w="100" w:type="dxa"/>
            </w:tcMar>
          </w:tcPr>
          <w:p>
            <w:r>
              <w:rPr>
                <w:sz w:val="18"/>
              </w:rPr>
              <w:t>0.7356</w:t>
            </w:r>
          </w:p>
        </w:tc>
        <w:tc>
          <w:tcPr>
            <w:tcW w:type="dxa" w:w="1560"/>
            <w:shd w:fill="F8FAFC"/>
            <w:tcMar>
              <w:top w:w="90" w:type="dxa"/>
              <w:bottom w:w="90" w:type="dxa"/>
              <w:left w:w="100" w:type="dxa"/>
              <w:right w:w="100" w:type="dxa"/>
            </w:tcMar>
          </w:tcPr>
          <w:p>
            <w:r>
              <w:rPr>
                <w:sz w:val="18"/>
              </w:rPr>
              <w:t>8.82 ms</w:t>
            </w:r>
          </w:p>
        </w:tc>
      </w:tr>
      <w:tr>
        <w:tc>
          <w:tcPr>
            <w:tcW w:type="dxa" w:w="1560"/>
            <w:shd w:fill="FFFFFF"/>
            <w:tcMar>
              <w:top w:w="90" w:type="dxa"/>
              <w:bottom w:w="90" w:type="dxa"/>
              <w:left w:w="100" w:type="dxa"/>
              <w:right w:w="100" w:type="dxa"/>
            </w:tcMar>
          </w:tcPr>
          <w:p>
            <w:r>
              <w:rPr>
                <w:b/>
                <w:sz w:val="18"/>
              </w:rPr>
              <w:t>BERT-Mini</w:t>
            </w:r>
          </w:p>
        </w:tc>
        <w:tc>
          <w:tcPr>
            <w:tcW w:type="dxa" w:w="1560"/>
            <w:shd w:fill="FFFFFF"/>
            <w:tcMar>
              <w:top w:w="90" w:type="dxa"/>
              <w:bottom w:w="90" w:type="dxa"/>
              <w:left w:w="100" w:type="dxa"/>
              <w:right w:w="100" w:type="dxa"/>
            </w:tcMar>
          </w:tcPr>
          <w:p>
            <w:r>
              <w:rPr>
                <w:sz w:val="18"/>
              </w:rPr>
              <w:t>Logit KD</w:t>
            </w:r>
          </w:p>
        </w:tc>
        <w:tc>
          <w:tcPr>
            <w:tcW w:type="dxa" w:w="1560"/>
            <w:shd w:fill="FFFFFF"/>
            <w:tcMar>
              <w:top w:w="90" w:type="dxa"/>
              <w:bottom w:w="90" w:type="dxa"/>
              <w:left w:w="100" w:type="dxa"/>
              <w:right w:w="100" w:type="dxa"/>
            </w:tcMar>
          </w:tcPr>
          <w:p>
            <w:r>
              <w:rPr>
                <w:sz w:val="18"/>
              </w:rPr>
              <w:t>11.2M</w:t>
            </w:r>
          </w:p>
        </w:tc>
        <w:tc>
          <w:tcPr>
            <w:tcW w:type="dxa" w:w="1560"/>
            <w:shd w:fill="FFFFFF"/>
            <w:tcMar>
              <w:top w:w="90" w:type="dxa"/>
              <w:bottom w:w="90" w:type="dxa"/>
              <w:left w:w="100" w:type="dxa"/>
              <w:right w:w="100" w:type="dxa"/>
            </w:tcMar>
          </w:tcPr>
          <w:p>
            <w:r>
              <w:rPr>
                <w:sz w:val="18"/>
              </w:rPr>
              <w:t>0.7665</w:t>
            </w:r>
          </w:p>
        </w:tc>
        <w:tc>
          <w:tcPr>
            <w:tcW w:type="dxa" w:w="1560"/>
            <w:shd w:fill="FFFFFF"/>
            <w:tcMar>
              <w:top w:w="90" w:type="dxa"/>
              <w:bottom w:w="90" w:type="dxa"/>
              <w:left w:w="100" w:type="dxa"/>
              <w:right w:w="100" w:type="dxa"/>
            </w:tcMar>
          </w:tcPr>
          <w:p>
            <w:r>
              <w:rPr>
                <w:sz w:val="18"/>
              </w:rPr>
              <w:t>0.7160</w:t>
            </w:r>
          </w:p>
        </w:tc>
        <w:tc>
          <w:tcPr>
            <w:tcW w:type="dxa" w:w="1560"/>
            <w:shd w:fill="FFFFFF"/>
            <w:tcMar>
              <w:top w:w="90" w:type="dxa"/>
              <w:bottom w:w="90" w:type="dxa"/>
              <w:left w:w="100" w:type="dxa"/>
              <w:right w:w="100" w:type="dxa"/>
            </w:tcMar>
          </w:tcPr>
          <w:p>
            <w:r>
              <w:rPr>
                <w:sz w:val="18"/>
              </w:rPr>
              <w:t>10.11 ms</w:t>
            </w:r>
          </w:p>
        </w:tc>
      </w:tr>
      <w:tr>
        <w:tc>
          <w:tcPr>
            <w:tcW w:type="dxa" w:w="1560"/>
            <w:shd w:fill="F8FAFC"/>
            <w:tcMar>
              <w:top w:w="90" w:type="dxa"/>
              <w:bottom w:w="90" w:type="dxa"/>
              <w:left w:w="100" w:type="dxa"/>
              <w:right w:w="100" w:type="dxa"/>
            </w:tcMar>
          </w:tcPr>
          <w:p>
            <w:r>
              <w:rPr>
                <w:b/>
                <w:sz w:val="18"/>
              </w:rPr>
              <w:t>BERT-Mini</w:t>
            </w:r>
          </w:p>
        </w:tc>
        <w:tc>
          <w:tcPr>
            <w:tcW w:type="dxa" w:w="1560"/>
            <w:shd w:fill="F8FAFC"/>
            <w:tcMar>
              <w:top w:w="90" w:type="dxa"/>
              <w:bottom w:w="90" w:type="dxa"/>
              <w:left w:w="100" w:type="dxa"/>
              <w:right w:w="100" w:type="dxa"/>
            </w:tcMar>
          </w:tcPr>
          <w:p>
            <w:r>
              <w:rPr>
                <w:sz w:val="18"/>
              </w:rPr>
              <w:t>Feature KD</w:t>
            </w:r>
          </w:p>
        </w:tc>
        <w:tc>
          <w:tcPr>
            <w:tcW w:type="dxa" w:w="1560"/>
            <w:shd w:fill="F8FAFC"/>
            <w:tcMar>
              <w:top w:w="90" w:type="dxa"/>
              <w:bottom w:w="90" w:type="dxa"/>
              <w:left w:w="100" w:type="dxa"/>
              <w:right w:w="100" w:type="dxa"/>
            </w:tcMar>
          </w:tcPr>
          <w:p>
            <w:r>
              <w:rPr>
                <w:sz w:val="18"/>
              </w:rPr>
              <w:t>11.2M</w:t>
            </w:r>
          </w:p>
        </w:tc>
        <w:tc>
          <w:tcPr>
            <w:tcW w:type="dxa" w:w="1560"/>
            <w:shd w:fill="F8FAFC"/>
            <w:tcMar>
              <w:top w:w="90" w:type="dxa"/>
              <w:bottom w:w="90" w:type="dxa"/>
              <w:left w:w="100" w:type="dxa"/>
              <w:right w:w="100" w:type="dxa"/>
            </w:tcMar>
          </w:tcPr>
          <w:p>
            <w:r>
              <w:rPr>
                <w:sz w:val="18"/>
              </w:rPr>
              <w:t>0.7253</w:t>
            </w:r>
          </w:p>
        </w:tc>
        <w:tc>
          <w:tcPr>
            <w:tcW w:type="dxa" w:w="1560"/>
            <w:shd w:fill="F8FAFC"/>
            <w:tcMar>
              <w:top w:w="90" w:type="dxa"/>
              <w:bottom w:w="90" w:type="dxa"/>
              <w:left w:w="100" w:type="dxa"/>
              <w:right w:w="100" w:type="dxa"/>
            </w:tcMar>
          </w:tcPr>
          <w:p>
            <w:r>
              <w:rPr>
                <w:sz w:val="18"/>
              </w:rPr>
              <w:t>0.6237</w:t>
            </w:r>
          </w:p>
        </w:tc>
        <w:tc>
          <w:tcPr>
            <w:tcW w:type="dxa" w:w="1560"/>
            <w:shd w:fill="F8FAFC"/>
            <w:tcMar>
              <w:top w:w="90" w:type="dxa"/>
              <w:bottom w:w="90" w:type="dxa"/>
              <w:left w:w="100" w:type="dxa"/>
              <w:right w:w="100" w:type="dxa"/>
            </w:tcMar>
          </w:tcPr>
          <w:p>
            <w:r>
              <w:rPr>
                <w:sz w:val="18"/>
              </w:rPr>
              <w:t>8.81 ms</w:t>
            </w:r>
          </w:p>
        </w:tc>
      </w:tr>
      <w:tr>
        <w:tc>
          <w:tcPr>
            <w:tcW w:type="dxa" w:w="1560"/>
            <w:shd w:fill="FFFFFF"/>
            <w:tcMar>
              <w:top w:w="90" w:type="dxa"/>
              <w:bottom w:w="90" w:type="dxa"/>
              <w:left w:w="100" w:type="dxa"/>
              <w:right w:w="100" w:type="dxa"/>
            </w:tcMar>
          </w:tcPr>
          <w:p>
            <w:r>
              <w:rPr>
                <w:b/>
                <w:sz w:val="18"/>
              </w:rPr>
              <w:t>BERT-Mini</w:t>
            </w:r>
          </w:p>
        </w:tc>
        <w:tc>
          <w:tcPr>
            <w:tcW w:type="dxa" w:w="1560"/>
            <w:shd w:fill="FFFFFF"/>
            <w:tcMar>
              <w:top w:w="90" w:type="dxa"/>
              <w:bottom w:w="90" w:type="dxa"/>
              <w:left w:w="100" w:type="dxa"/>
              <w:right w:w="100" w:type="dxa"/>
            </w:tcMar>
          </w:tcPr>
          <w:p>
            <w:r>
              <w:rPr>
                <w:sz w:val="18"/>
              </w:rPr>
              <w:t>Augmented KD</w:t>
            </w:r>
          </w:p>
        </w:tc>
        <w:tc>
          <w:tcPr>
            <w:tcW w:type="dxa" w:w="1560"/>
            <w:shd w:fill="FFFFFF"/>
            <w:tcMar>
              <w:top w:w="90" w:type="dxa"/>
              <w:bottom w:w="90" w:type="dxa"/>
              <w:left w:w="100" w:type="dxa"/>
              <w:right w:w="100" w:type="dxa"/>
            </w:tcMar>
          </w:tcPr>
          <w:p>
            <w:r>
              <w:rPr>
                <w:sz w:val="18"/>
              </w:rPr>
              <w:t>11.2M</w:t>
            </w:r>
          </w:p>
        </w:tc>
        <w:tc>
          <w:tcPr>
            <w:tcW w:type="dxa" w:w="1560"/>
            <w:shd w:fill="FFFFFF"/>
            <w:tcMar>
              <w:top w:w="90" w:type="dxa"/>
              <w:bottom w:w="90" w:type="dxa"/>
              <w:left w:w="100" w:type="dxa"/>
              <w:right w:w="100" w:type="dxa"/>
            </w:tcMar>
          </w:tcPr>
          <w:p>
            <w:r>
              <w:rPr>
                <w:sz w:val="18"/>
              </w:rPr>
              <w:t>0.7529</w:t>
            </w:r>
          </w:p>
        </w:tc>
        <w:tc>
          <w:tcPr>
            <w:tcW w:type="dxa" w:w="1560"/>
            <w:shd w:fill="FFFFFF"/>
            <w:tcMar>
              <w:top w:w="90" w:type="dxa"/>
              <w:bottom w:w="90" w:type="dxa"/>
              <w:left w:w="100" w:type="dxa"/>
              <w:right w:w="100" w:type="dxa"/>
            </w:tcMar>
          </w:tcPr>
          <w:p>
            <w:r>
              <w:rPr>
                <w:sz w:val="18"/>
              </w:rPr>
              <w:t>0.7160</w:t>
            </w:r>
          </w:p>
        </w:tc>
        <w:tc>
          <w:tcPr>
            <w:tcW w:type="dxa" w:w="1560"/>
            <w:shd w:fill="FFFFFF"/>
            <w:tcMar>
              <w:top w:w="90" w:type="dxa"/>
              <w:bottom w:w="90" w:type="dxa"/>
              <w:left w:w="100" w:type="dxa"/>
              <w:right w:w="100" w:type="dxa"/>
            </w:tcMar>
          </w:tcPr>
          <w:p>
            <w:r>
              <w:rPr>
                <w:sz w:val="18"/>
              </w:rPr>
              <w:t>8.28 ms</w:t>
            </w:r>
          </w:p>
        </w:tc>
      </w:tr>
      <w:tr>
        <w:tc>
          <w:tcPr>
            <w:tcW w:type="dxa" w:w="1560"/>
            <w:shd w:fill="F8FAFC"/>
            <w:tcMar>
              <w:top w:w="90" w:type="dxa"/>
              <w:bottom w:w="90" w:type="dxa"/>
              <w:left w:w="100" w:type="dxa"/>
              <w:right w:w="100" w:type="dxa"/>
            </w:tcMar>
          </w:tcPr>
          <w:p>
            <w:r>
              <w:rPr>
                <w:b/>
                <w:sz w:val="18"/>
              </w:rPr>
              <w:t>BERT-Tiny</w:t>
            </w:r>
          </w:p>
        </w:tc>
        <w:tc>
          <w:tcPr>
            <w:tcW w:type="dxa" w:w="1560"/>
            <w:shd w:fill="F8FAFC"/>
            <w:tcMar>
              <w:top w:w="90" w:type="dxa"/>
              <w:bottom w:w="90" w:type="dxa"/>
              <w:left w:w="100" w:type="dxa"/>
              <w:right w:w="100" w:type="dxa"/>
            </w:tcMar>
          </w:tcPr>
          <w:p>
            <w:r>
              <w:rPr>
                <w:sz w:val="18"/>
              </w:rPr>
              <w:t>Logit KD</w:t>
            </w:r>
          </w:p>
        </w:tc>
        <w:tc>
          <w:tcPr>
            <w:tcW w:type="dxa" w:w="1560"/>
            <w:shd w:fill="F8FAFC"/>
            <w:tcMar>
              <w:top w:w="90" w:type="dxa"/>
              <w:bottom w:w="90" w:type="dxa"/>
              <w:left w:w="100" w:type="dxa"/>
              <w:right w:w="100" w:type="dxa"/>
            </w:tcMar>
          </w:tcPr>
          <w:p>
            <w:r>
              <w:rPr>
                <w:sz w:val="18"/>
              </w:rPr>
              <w:t>4.4M</w:t>
            </w:r>
          </w:p>
        </w:tc>
        <w:tc>
          <w:tcPr>
            <w:tcW w:type="dxa" w:w="1560"/>
            <w:shd w:fill="F8FAFC"/>
            <w:tcMar>
              <w:top w:w="90" w:type="dxa"/>
              <w:bottom w:w="90" w:type="dxa"/>
              <w:left w:w="100" w:type="dxa"/>
              <w:right w:w="100" w:type="dxa"/>
            </w:tcMar>
          </w:tcPr>
          <w:p>
            <w:r>
              <w:rPr>
                <w:sz w:val="18"/>
              </w:rPr>
              <w:t>0.2328</w:t>
            </w:r>
          </w:p>
        </w:tc>
        <w:tc>
          <w:tcPr>
            <w:tcW w:type="dxa" w:w="1560"/>
            <w:shd w:fill="F8FAFC"/>
            <w:tcMar>
              <w:top w:w="90" w:type="dxa"/>
              <w:bottom w:w="90" w:type="dxa"/>
              <w:left w:w="100" w:type="dxa"/>
              <w:right w:w="100" w:type="dxa"/>
            </w:tcMar>
          </w:tcPr>
          <w:p>
            <w:r>
              <w:rPr>
                <w:sz w:val="18"/>
              </w:rPr>
              <w:t>0.0000</w:t>
            </w:r>
          </w:p>
        </w:tc>
        <w:tc>
          <w:tcPr>
            <w:tcW w:type="dxa" w:w="1560"/>
            <w:shd w:fill="F8FAFC"/>
            <w:tcMar>
              <w:top w:w="90" w:type="dxa"/>
              <w:bottom w:w="90" w:type="dxa"/>
              <w:left w:w="100" w:type="dxa"/>
              <w:right w:w="100" w:type="dxa"/>
            </w:tcMar>
          </w:tcPr>
          <w:p>
            <w:r>
              <w:rPr>
                <w:sz w:val="18"/>
              </w:rPr>
              <w:t>2.86 ms</w:t>
            </w:r>
          </w:p>
        </w:tc>
      </w:tr>
    </w:tbl>
    <w:p>
      <w:pPr>
        <w:spacing w:after="120"/>
      </w:pPr>
    </w:p>
    <w:p>
      <w:pPr>
        <w:ind w:left="144"/>
      </w:pPr>
      <w:r>
        <w:rPr>
          <w:i/>
        </w:rPr>
        <w:t>Key Benchmark Finding: Knowledge distillation on DistilBERT improves Macro-F1 from 0.8335 (supervised) to 0.8684 (+3.49%) and minority 'result' F1 from 0.7447 to 0.8043 (+5.96%), surrendering zero accuracy relative to the teacher while halving CPU latency (143.6 ms to 68.6 ms). Conversely, extreme compression down to BERT-Tiny (4.4M params) causes capacity collapse on the minority intent (F1: 0.0), rigorously proving the importance of the multi-size, multi-metric evaluation requirements established in Module 2 and Module 3.</w:t>
      </w:r>
    </w:p>
    <w:p>
      <w:pPr>
        <w:keepNext/>
        <w:spacing w:before="360" w:after="120"/>
      </w:pPr>
      <w:r>
        <w:rPr>
          <w:rFonts w:ascii="Calibri" w:hAnsi="Calibri"/>
          <w:b/>
          <w:color w:val="1B365D"/>
          <w:sz w:val="30"/>
        </w:rPr>
        <w:t>7. Formal Academic References</w:t>
      </w:r>
    </w:p>
    <w:p>
      <w:pPr>
        <w:spacing w:after="80"/>
        <w:ind w:left="432" w:hanging="432"/>
      </w:pPr>
      <w:r>
        <w:rPr>
          <w:sz w:val="19"/>
        </w:rPr>
        <w:t>Ba, J., &amp; Caruana, R. (2014). Do deep nets really need to be deep? In Advances in Neural Information Processing Systems (NeurIPS 2014), pp. 2654–2662.</w:t>
      </w:r>
    </w:p>
    <w:p>
      <w:pPr>
        <w:spacing w:after="80"/>
        <w:ind w:left="432" w:hanging="432"/>
      </w:pPr>
      <w:r>
        <w:rPr>
          <w:sz w:val="19"/>
        </w:rPr>
        <w:t>Beltagy, I., Lo, K., &amp; Cohan, A. (2019). SciBERT: A pretrained language model for scientific text. In Proceedings of the 2019 Conference on Empirical Methods in Natural Language Processing (EMNLP 2019), pp. 3615–3620.</w:t>
      </w:r>
    </w:p>
    <w:p>
      <w:pPr>
        <w:spacing w:after="80"/>
        <w:ind w:left="432" w:hanging="432"/>
      </w:pPr>
      <w:r>
        <w:rPr>
          <w:sz w:val="19"/>
        </w:rPr>
        <w:t>Cohan, A., Ammar, W., van Zuylen, M., &amp; Cady, F. (2019). Structural scaffolds for citation intent classification in scientific texts. In Proceedings of the 2019 Conference of the North American Chapter of the Association for Computational Linguistics (NAACL-HLT 2019), pp. 3586–3596.</w:t>
      </w:r>
    </w:p>
    <w:p>
      <w:pPr>
        <w:spacing w:after="80"/>
        <w:ind w:left="432" w:hanging="432"/>
      </w:pPr>
      <w:r>
        <w:rPr>
          <w:sz w:val="19"/>
        </w:rPr>
        <w:t>Hinton, G., Vinyals, O., &amp; Dean, J. (2015). Distilling the knowledge in a neural network. arXiv preprint arXiv:1503.02531.</w:t>
      </w:r>
    </w:p>
    <w:p>
      <w:pPr>
        <w:spacing w:after="80"/>
        <w:ind w:left="432" w:hanging="432"/>
      </w:pPr>
      <w:r>
        <w:rPr>
          <w:sz w:val="19"/>
        </w:rPr>
        <w:t>Jiao, X., Yin, Y., Shang, L., Jiang, X., Chen, X., Li, L., Wang, F., &amp; Liu, Q. (2020). TinyBERT: Distilling BERT for natural language understanding. In Findings of the Association for Computational Linguistics: EMNLP 2020, pp. 4163–4174.</w:t>
      </w:r>
    </w:p>
    <w:p>
      <w:pPr>
        <w:spacing w:after="80"/>
        <w:ind w:left="432" w:hanging="432"/>
      </w:pPr>
      <w:r>
        <w:rPr>
          <w:sz w:val="19"/>
        </w:rPr>
        <w:t>Jurgens, D., Kumar, S., Radev, D., &amp; Jurafsky, D. (2018). Measuring the evolution of a scientific field through citation ingestion and intent. Transactions of the Association for Computational Linguistics (TACL), 6, 391–406.</w:t>
      </w:r>
    </w:p>
    <w:p>
      <w:pPr>
        <w:spacing w:after="80"/>
        <w:ind w:left="432" w:hanging="432"/>
      </w:pPr>
      <w:r>
        <w:rPr>
          <w:sz w:val="19"/>
        </w:rPr>
        <w:t>Lee, J., Yoon, W., Kim, S., Kim, D., Kim, S., So, C. H., &amp; Kang, J. (2020). BioBERT: a pre-trained biomedical language representation model for biomedical text mining. Bioinformatics, 36(4), 1234–1240.</w:t>
      </w:r>
    </w:p>
    <w:p>
      <w:pPr>
        <w:spacing w:after="80"/>
        <w:ind w:left="432" w:hanging="432"/>
      </w:pPr>
      <w:r>
        <w:rPr>
          <w:sz w:val="19"/>
        </w:rPr>
        <w:t>Ribeiro, M. T., Wu, T., Guestrin, C., &amp; Samek, W. (2020). Beyond accuracy: Behavioral testing of NLP models with CheckList. In Proceedings of the 58th Annual Meeting of the Association for Computational Linguistics (ACL 2020), pp. 4902–4912.</w:t>
      </w:r>
    </w:p>
    <w:p>
      <w:pPr>
        <w:spacing w:after="80"/>
        <w:ind w:left="432" w:hanging="432"/>
      </w:pPr>
      <w:r>
        <w:rPr>
          <w:sz w:val="19"/>
        </w:rPr>
        <w:t>Romero, A., Ballas, N., Kahou, S. E., Chassang, A., Gatta, C., &amp; Bengio, Y. (2014). FitNets: Hints for thin deep nets. In Proceedings of the International Conference on Learning Representations (ICLR 2015).</w:t>
      </w:r>
    </w:p>
    <w:p>
      <w:pPr>
        <w:spacing w:after="80"/>
        <w:ind w:left="432" w:hanging="432"/>
      </w:pPr>
      <w:r>
        <w:rPr>
          <w:sz w:val="19"/>
        </w:rPr>
        <w:t>Sanh, V., Debut, L., Chaumond, J., &amp; Wolf, T. (2019). DistilBERT, a distilled version of BERT: smaller, faster, cheaper and lighter. In NeurIPS EMC2 Workshop 2019.</w:t>
      </w:r>
    </w:p>
    <w:p>
      <w:pPr>
        <w:spacing w:after="80"/>
        <w:ind w:left="432" w:hanging="432"/>
      </w:pPr>
      <w:r>
        <w:rPr>
          <w:sz w:val="19"/>
        </w:rPr>
        <w:t>Teufel, S., Siddharthan, A., &amp; Tidhar, D. (2006). Automatic classification of citation function. In Proceedings of the 2006 Conference on Empirical Methods in Natural Language Processing (EMNLP 2006), pp. 103–110.</w:t>
      </w:r>
    </w:p>
    <w:p>
      <w:pPr>
        <w:spacing w:after="80"/>
        <w:ind w:left="432" w:hanging="432"/>
      </w:pPr>
      <w:r>
        <w:rPr>
          <w:sz w:val="19"/>
        </w:rPr>
        <w:t>Turc, I., Chang, M. W., Lee, K., &amp; Toutanova, K. (2019). Well-read students learn better: On the importance of pre-training compact models. arXiv preprint arXiv:1908.08962.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