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pPr>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720"/>
        <w:tblGridChange w:id="0">
          <w:tblGrid>
            <w:gridCol w:w="3015"/>
            <w:gridCol w:w="6720"/>
          </w:tblGrid>
        </w:tblGridChange>
      </w:tblGrid>
      <w:tr>
        <w:trPr>
          <w:cantSplit w:val="0"/>
          <w:trHeight w:val="46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after="0" w:line="240" w:lineRule="auto"/>
              <w:rPr>
                <w:b w:val="1"/>
              </w:rPr>
            </w:pPr>
            <w:r w:rsidDel="00000000" w:rsidR="00000000" w:rsidRPr="00000000">
              <w:rPr>
                <w:b w:val="1"/>
                <w:rtl w:val="0"/>
              </w:rPr>
              <w:t xml:space="preserve">Name of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Anakin Skywalker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0" w:line="240" w:lineRule="auto"/>
              <w:rPr>
                <w:b w:val="1"/>
              </w:rPr>
            </w:pPr>
            <w:r w:rsidDel="00000000" w:rsidR="00000000" w:rsidRPr="00000000">
              <w:rPr>
                <w:b w:val="1"/>
                <w:rtl w:val="0"/>
              </w:rPr>
              <w:t xml:space="preserve">Name of the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Obi-Wan Kenobi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after="0" w:line="240" w:lineRule="auto"/>
              <w:rPr>
                <w:b w:val="1"/>
              </w:rPr>
            </w:pPr>
            <w:r w:rsidDel="00000000" w:rsidR="00000000" w:rsidRPr="00000000">
              <w:rPr>
                <w:b w:val="1"/>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density functional theory investigation of molecular adsorption on defective graphene </w:t>
            </w:r>
          </w:p>
        </w:tc>
      </w:tr>
    </w:tbl>
    <w:p w:rsidR="00000000" w:rsidDel="00000000" w:rsidP="00000000" w:rsidRDefault="00000000" w:rsidRPr="00000000" w14:paraId="00000008">
      <w:pPr>
        <w:pStyle w:val="Heading1"/>
        <w:pageBreakBefore w:val="0"/>
        <w:spacing w:line="276" w:lineRule="auto"/>
        <w:rPr/>
      </w:pPr>
      <w:bookmarkStart w:colFirst="0" w:colLast="0" w:name="_gjdgxs" w:id="0"/>
      <w:bookmarkEnd w:id="0"/>
      <w:r w:rsidDel="00000000" w:rsidR="00000000" w:rsidRPr="00000000">
        <w:rPr>
          <w:rtl w:val="0"/>
        </w:rPr>
        <w:t xml:space="preserve">PROJECT SUMMARY</w:t>
      </w:r>
    </w:p>
    <w:p w:rsidR="00000000" w:rsidDel="00000000" w:rsidP="00000000" w:rsidRDefault="00000000" w:rsidRPr="00000000" w14:paraId="00000009">
      <w:pPr>
        <w:pageBreakBefore w:val="0"/>
        <w:spacing w:after="0" w:line="276" w:lineRule="auto"/>
        <w:rPr/>
      </w:pPr>
      <w:r w:rsidDel="00000000" w:rsidR="00000000" w:rsidRPr="00000000">
        <w:rPr>
          <w:rtl w:val="0"/>
        </w:rPr>
        <w:t xml:space="preserve">Graphene is a two-dimensional material that is in the form of a hexagonal network of carbon atoms. Point defects in graphene break the symmetry of this network and may alter the adsorption energies of molecules. In this project, we explore what changes occur in the adsorption energies of benzene and toluene on graphene in the presence of a single or double vacancy. </w:t>
      </w:r>
      <w:commentRangeStart w:id="0"/>
      <w:r w:rsidDel="00000000" w:rsidR="00000000" w:rsidRPr="00000000">
        <w:rPr>
          <w:rtl w:val="0"/>
        </w:rPr>
        <w:t xml:space="preserve">The main hypothesis to be tested in this project is that the adsorption energies would increase in the presence of point defects in graphene.</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Our method of choice is density functional theory, which is a technique that relies on the description of the many-electron system based on the density rather than the wavefunction.</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We plan to calculate and compare the adsorption energies of the molecules mentioned above on pristine graphene and on defective graphene.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pageBreakBefore w:val="0"/>
        <w:spacing w:after="0" w:line="276" w:lineRule="auto"/>
        <w:rPr/>
      </w:pPr>
      <w:r w:rsidDel="00000000" w:rsidR="00000000" w:rsidRPr="00000000">
        <w:rPr>
          <w:rtl w:val="0"/>
        </w:rPr>
      </w:r>
    </w:p>
    <w:p w:rsidR="00000000" w:rsidDel="00000000" w:rsidP="00000000" w:rsidRDefault="00000000" w:rsidRPr="00000000" w14:paraId="0000000B">
      <w:pPr>
        <w:pStyle w:val="Heading1"/>
        <w:pageBreakBefore w:val="0"/>
        <w:rPr>
          <w:i w:val="1"/>
          <w:sz w:val="32"/>
          <w:szCs w:val="32"/>
        </w:rPr>
      </w:pPr>
      <w:bookmarkStart w:colFirst="0" w:colLast="0" w:name="_30j0zll" w:id="1"/>
      <w:bookmarkEnd w:id="1"/>
      <w:r w:rsidDel="00000000" w:rsidR="00000000" w:rsidRPr="00000000">
        <w:rPr>
          <w:b w:val="1"/>
          <w:sz w:val="32"/>
          <w:szCs w:val="32"/>
          <w:rtl w:val="0"/>
        </w:rPr>
        <w:t xml:space="preserve">BACKGROUND</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Graphene is a two-dimensional material that has extraordinary electronic, elastic and vibrational properties </w:t>
      </w:r>
      <w:commentRangeStart w:id="3"/>
      <w:r w:rsidDel="00000000" w:rsidR="00000000" w:rsidRPr="00000000">
        <w:rPr>
          <w:rtl w:val="0"/>
        </w:rPr>
        <w:t xml:space="preserve">[1].</w:t>
      </w:r>
      <w:commentRangeEnd w:id="3"/>
      <w:r w:rsidDel="00000000" w:rsidR="00000000" w:rsidRPr="00000000">
        <w:commentReference w:id="3"/>
      </w:r>
      <w:r w:rsidDel="00000000" w:rsidR="00000000" w:rsidRPr="00000000">
        <w:rPr>
          <w:rtl w:val="0"/>
        </w:rPr>
        <w:t xml:space="preserve"> Understanding the adsorption properties of different molecules on graphene is important since graphene is used as a substrate in air and water filters [2], whose working principle is the capture of toxic molecules on graphene. Point defects can be intentionally introduced in the graphene sheet intentionally or as a result of production processes [3]. </w:t>
      </w:r>
      <w:commentRangeStart w:id="4"/>
      <w:r w:rsidDel="00000000" w:rsidR="00000000" w:rsidRPr="00000000">
        <w:rPr>
          <w:rtl w:val="0"/>
        </w:rPr>
        <w:t xml:space="preserve">The adsorption characteristics of several molecules such as CO2 [], benzene [] and … [] has been studied both experimentally and theoretically. Overall, defects appear to increase the adsorption energies of these molecules and therefore improve the performance of the graphene-based substrate as a filter.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this study, we plan to investigate the adsorption characteristics of two molecules, benzene and toluene on pristine graphene and graphene with a single and a double vacancy (</w:t>
      </w:r>
      <w:commentRangeStart w:id="5"/>
      <w:r w:rsidDel="00000000" w:rsidR="00000000" w:rsidRPr="00000000">
        <w:rPr>
          <w:rtl w:val="0"/>
        </w:rPr>
        <w:t xml:space="preserve">see Figure 1).</w:t>
      </w:r>
      <w:commentRangeEnd w:id="5"/>
      <w:r w:rsidDel="00000000" w:rsidR="00000000" w:rsidRPr="00000000">
        <w:commentReference w:id="5"/>
      </w:r>
      <w:r w:rsidDel="00000000" w:rsidR="00000000" w:rsidRPr="00000000">
        <w:rPr>
          <w:rtl w:val="0"/>
        </w:rPr>
        <w:t xml:space="preserve"> The adsorption energies of benzene and toluene has been calculated previously on pristine graphene []. </w:t>
      </w:r>
      <w:commentRangeStart w:id="6"/>
      <w:r w:rsidDel="00000000" w:rsidR="00000000" w:rsidRPr="00000000">
        <w:rPr>
          <w:rtl w:val="0"/>
        </w:rPr>
        <w:t xml:space="preserve">We plan to extend these calculations to the single and double vacancy cases.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304800</wp:posOffset>
            </wp:positionV>
            <wp:extent cx="2847975" cy="1423988"/>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47975" cy="1423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304800</wp:posOffset>
            </wp:positionV>
            <wp:extent cx="2843213" cy="1403497"/>
            <wp:effectExtent b="0" l="0" r="0" t="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43213" cy="1403497"/>
                    </a:xfrm>
                    <a:prstGeom prst="rect"/>
                    <a:ln/>
                  </pic:spPr>
                </pic:pic>
              </a:graphicData>
            </a:graphic>
          </wp:anchor>
        </w:drawing>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highlight w:val="yellow"/>
        </w:rPr>
      </w:pPr>
      <w:r w:rsidDel="00000000" w:rsidR="00000000" w:rsidRPr="00000000">
        <w:rPr>
          <w:rtl w:val="0"/>
        </w:rPr>
      </w:r>
    </w:p>
    <w:p w:rsidR="00000000" w:rsidDel="00000000" w:rsidP="00000000" w:rsidRDefault="00000000" w:rsidRPr="00000000" w14:paraId="00000015">
      <w:pPr>
        <w:pageBreakBefore w:val="0"/>
        <w:rPr>
          <w:b w:val="1"/>
          <w:highlight w:val="yellow"/>
        </w:rPr>
      </w:pPr>
      <w:r w:rsidDel="00000000" w:rsidR="00000000" w:rsidRPr="00000000">
        <w:rPr>
          <w:rtl w:val="0"/>
        </w:rPr>
      </w:r>
    </w:p>
    <w:p w:rsidR="00000000" w:rsidDel="00000000" w:rsidP="00000000" w:rsidRDefault="00000000" w:rsidRPr="00000000" w14:paraId="00000016">
      <w:pPr>
        <w:pageBreakBefore w:val="0"/>
        <w:rPr>
          <w:b w:val="1"/>
          <w:highlight w:val="yellow"/>
        </w:rPr>
      </w:pPr>
      <w:r w:rsidDel="00000000" w:rsidR="00000000" w:rsidRPr="00000000">
        <w:rPr>
          <w:rtl w:val="0"/>
        </w:rPr>
      </w:r>
    </w:p>
    <w:p w:rsidR="00000000" w:rsidDel="00000000" w:rsidP="00000000" w:rsidRDefault="00000000" w:rsidRPr="00000000" w14:paraId="00000017">
      <w:pPr>
        <w:pageBreakBefore w:val="0"/>
        <w:rPr>
          <w:b w:val="1"/>
          <w:highlight w:val="yellow"/>
        </w:rPr>
      </w:pPr>
      <w:r w:rsidDel="00000000" w:rsidR="00000000" w:rsidRPr="00000000">
        <w:rPr>
          <w:rtl w:val="0"/>
        </w:rPr>
      </w:r>
    </w:p>
    <w:p w:rsidR="00000000" w:rsidDel="00000000" w:rsidP="00000000" w:rsidRDefault="00000000" w:rsidRPr="00000000" w14:paraId="00000018">
      <w:pPr>
        <w:pageBreakBefore w:val="0"/>
        <w:rPr>
          <w:b w:val="1"/>
          <w:highlight w:val="yellow"/>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jc w:val="center"/>
        <w:rPr>
          <w:b w:val="1"/>
        </w:rPr>
      </w:pPr>
      <w:r w:rsidDel="00000000" w:rsidR="00000000" w:rsidRPr="00000000">
        <w:rPr>
          <w:b w:val="1"/>
          <w:rtl w:val="0"/>
        </w:rPr>
        <w:t xml:space="preserve">                                                                  (b)</w:t>
      </w:r>
    </w:p>
    <w:p w:rsidR="00000000" w:rsidDel="00000000" w:rsidP="00000000" w:rsidRDefault="00000000" w:rsidRPr="00000000" w14:paraId="0000001A">
      <w:pPr>
        <w:pageBreakBefore w:val="0"/>
        <w:jc w:val="center"/>
        <w:rPr>
          <w:i w:val="1"/>
        </w:rPr>
      </w:pPr>
      <w:commentRangeStart w:id="7"/>
      <w:r w:rsidDel="00000000" w:rsidR="00000000" w:rsidRPr="00000000">
        <w:rPr>
          <w:i w:val="1"/>
          <w:rtl w:val="0"/>
        </w:rPr>
        <w:t xml:space="preserve">Figure 1 : Pristine graphene (a) and defective graphene with a single vacancy (b)</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B">
      <w:pPr>
        <w:pageBreakBefore w:val="0"/>
        <w:rPr>
          <w:b w:val="1"/>
          <w:highlight w:val="yellow"/>
        </w:rPr>
      </w:pPr>
      <w:r w:rsidDel="00000000" w:rsidR="00000000" w:rsidRPr="00000000">
        <w:rPr>
          <w:rtl w:val="0"/>
        </w:rPr>
      </w:r>
    </w:p>
    <w:p w:rsidR="00000000" w:rsidDel="00000000" w:rsidP="00000000" w:rsidRDefault="00000000" w:rsidRPr="00000000" w14:paraId="0000001C">
      <w:pPr>
        <w:pStyle w:val="Heading1"/>
        <w:pageBreakBefore w:val="0"/>
        <w:rPr>
          <w:b w:val="1"/>
        </w:rPr>
      </w:pPr>
      <w:bookmarkStart w:colFirst="0" w:colLast="0" w:name="_1fob9te" w:id="2"/>
      <w:bookmarkEnd w:id="2"/>
      <w:r w:rsidDel="00000000" w:rsidR="00000000" w:rsidRPr="00000000">
        <w:rPr>
          <w:b w:val="1"/>
          <w:rtl w:val="0"/>
        </w:rPr>
        <w:t xml:space="preserve">METHOD</w:t>
      </w:r>
    </w:p>
    <w:p w:rsidR="00000000" w:rsidDel="00000000" w:rsidP="00000000" w:rsidRDefault="00000000" w:rsidRPr="00000000" w14:paraId="0000001D">
      <w:pPr>
        <w:pageBreakBefore w:val="0"/>
        <w:rPr/>
      </w:pPr>
      <w:r w:rsidDel="00000000" w:rsidR="00000000" w:rsidRPr="00000000">
        <w:rPr>
          <w:rtl w:val="0"/>
        </w:rPr>
        <w:t xml:space="preserve">In this project, we aim to calculate the adsorption energies of molecules within the density functional theory framework [ ]. Density functional theory is a many-body method, which shifts the focus from the wavefunction to the density. The total energy for a given density is written as</w:t>
      </w:r>
    </w:p>
    <w:p w:rsidR="00000000" w:rsidDel="00000000" w:rsidP="00000000" w:rsidRDefault="00000000" w:rsidRPr="00000000" w14:paraId="0000001E">
      <w:pPr>
        <w:pageBreakBefore w:val="0"/>
        <w:rPr/>
      </w:pPr>
      <w:r w:rsidDel="00000000" w:rsidR="00000000" w:rsidRPr="00000000">
        <w:rPr>
          <w:rtl w:val="0"/>
        </w:rPr>
        <w:t xml:space="preserve"> </w:t>
        <w:tab/>
      </w:r>
      <w:r w:rsidDel="00000000" w:rsidR="00000000" w:rsidRPr="00000000">
        <w:drawing>
          <wp:anchor allowOverlap="1" behindDoc="0" distB="19050" distT="19050" distL="19050" distR="19050" hidden="0" layoutInCell="1" locked="0" relativeHeight="0" simplePos="0">
            <wp:simplePos x="0" y="0"/>
            <wp:positionH relativeFrom="column">
              <wp:posOffset>1504950</wp:posOffset>
            </wp:positionH>
            <wp:positionV relativeFrom="paragraph">
              <wp:posOffset>28575</wp:posOffset>
            </wp:positionV>
            <wp:extent cx="2033588" cy="457200"/>
            <wp:effectExtent b="0" l="0" r="0" t="0"/>
            <wp:wrapSquare wrapText="bothSides" distB="19050" distT="19050" distL="19050" distR="1905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33588" cy="457200"/>
                    </a:xfrm>
                    <a:prstGeom prst="rect"/>
                    <a:ln/>
                  </pic:spPr>
                </pic:pic>
              </a:graphicData>
            </a:graphic>
          </wp:anchor>
        </w:drawing>
      </w:r>
    </w:p>
    <w:p w:rsidR="00000000" w:rsidDel="00000000" w:rsidP="00000000" w:rsidRDefault="00000000" w:rsidRPr="00000000" w14:paraId="0000001F">
      <w:pPr>
        <w:pageBreakBefore w:val="0"/>
        <w:jc w:val="right"/>
        <w:rPr/>
      </w:pPr>
      <w:r w:rsidDel="00000000" w:rsidR="00000000" w:rsidRPr="00000000">
        <w:rPr>
          <w:rtl w:val="0"/>
        </w:rPr>
        <w:tab/>
        <w:tab/>
        <w:tab/>
        <w:t xml:space="preserve">               </w:t>
      </w:r>
      <w:commentRangeStart w:id="8"/>
      <w:r w:rsidDel="00000000" w:rsidR="00000000" w:rsidRPr="00000000">
        <w:rPr>
          <w:rtl w:val="0"/>
        </w:rPr>
        <w:t xml:space="preserve">(1</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20">
      <w:pPr>
        <w:pageBreakBefore w:val="0"/>
        <w:rPr/>
      </w:pPr>
      <w:commentRangeStart w:id="9"/>
      <w:r w:rsidDel="00000000" w:rsidR="00000000" w:rsidRPr="00000000">
        <w:rPr>
          <w:rtl w:val="0"/>
        </w:rPr>
        <w:t xml:space="preserve">where </w:t>
      </w:r>
      <w:hyperlink r:id="rId10">
        <w:r w:rsidDel="00000000" w:rsidR="00000000" w:rsidRPr="00000000">
          <w:rPr/>
          <w:drawing>
            <wp:inline distB="19050" distT="19050" distL="19050" distR="19050">
              <wp:extent cx="76200" cy="635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the density, </w:t>
      </w:r>
      <w:hyperlink r:id="rId12">
        <w:r w:rsidDel="00000000" w:rsidR="00000000" w:rsidRPr="00000000">
          <w:rPr/>
          <w:drawing>
            <wp:inline distB="19050" distT="19050" distL="19050" distR="19050">
              <wp:extent cx="76200" cy="1143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is the electronic position.</w:t>
      </w:r>
      <w:commentRangeEnd w:id="9"/>
      <w:r w:rsidDel="00000000" w:rsidR="00000000" w:rsidRPr="00000000">
        <w:commentReference w:id="9"/>
      </w:r>
      <w:r w:rsidDel="00000000" w:rsidR="00000000" w:rsidRPr="00000000">
        <w:rPr>
          <w:rtl w:val="0"/>
        </w:rPr>
        <w:t xml:space="preserve"> The adsorption energies are calculated using the formula</w:t>
      </w:r>
      <w:r w:rsidDel="00000000" w:rsidR="00000000" w:rsidRPr="00000000">
        <w:rPr/>
        <w:drawing>
          <wp:inline distB="19050" distT="19050" distL="19050" distR="19050">
            <wp:extent cx="76200" cy="63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6200" cy="63500"/>
                    </a:xfrm>
                    <a:prstGeom prst="rect"/>
                    <a:ln/>
                  </pic:spPr>
                </pic:pic>
              </a:graphicData>
            </a:graphic>
          </wp:inline>
        </w:drawing>
      </w:r>
      <w:r w:rsidDel="00000000" w:rsidR="00000000" w:rsidRPr="00000000">
        <w:rPr>
          <w:rtl w:val="0"/>
        </w:rPr>
        <w:t xml:space="preserve"> is the density, </w:t>
      </w:r>
      <w:r w:rsidDel="00000000" w:rsidR="00000000" w:rsidRPr="00000000">
        <w:rPr/>
        <w:drawing>
          <wp:inline distB="19050" distT="19050" distL="19050" distR="19050">
            <wp:extent cx="76200" cy="1143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6200" cy="114300"/>
                    </a:xfrm>
                    <a:prstGeom prst="rect"/>
                    <a:ln/>
                  </pic:spPr>
                </pic:pic>
              </a:graphicData>
            </a:graphic>
          </wp:inline>
        </w:drawing>
      </w:r>
      <w:r w:rsidDel="00000000" w:rsidR="00000000" w:rsidRPr="00000000">
        <w:rPr>
          <w:rtl w:val="0"/>
        </w:rPr>
        <w:t xml:space="preserve"> is the electronic position. The adsorption energies are calculated using the formula</w:t>
      </w:r>
    </w:p>
    <w:p w:rsidR="00000000" w:rsidDel="00000000" w:rsidP="00000000" w:rsidRDefault="00000000" w:rsidRPr="00000000" w14:paraId="00000021">
      <w:pPr>
        <w:pageBreakBefore w:val="0"/>
        <w:jc w:val="right"/>
        <w:rPr/>
      </w:pPr>
      <w:r w:rsidDel="00000000" w:rsidR="00000000" w:rsidRPr="00000000">
        <w:rPr>
          <w:rtl w:val="0"/>
        </w:rPr>
        <w:t xml:space="preserve">                                                                                                                                             (2)  </w:t>
      </w:r>
      <w:r w:rsidDel="00000000" w:rsidR="00000000" w:rsidRPr="00000000">
        <w:drawing>
          <wp:anchor allowOverlap="1" behindDoc="0" distB="57150" distT="57150" distL="57150" distR="57150" hidden="0" layoutInCell="1" locked="0" relativeHeight="0" simplePos="0">
            <wp:simplePos x="0" y="0"/>
            <wp:positionH relativeFrom="column">
              <wp:posOffset>1257300</wp:posOffset>
            </wp:positionH>
            <wp:positionV relativeFrom="paragraph">
              <wp:posOffset>114300</wp:posOffset>
            </wp:positionV>
            <wp:extent cx="2532944" cy="190500"/>
            <wp:effectExtent b="0" l="0" r="0" t="0"/>
            <wp:wrapSquare wrapText="bothSides" distB="57150" distT="57150" distL="57150" distR="5715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32944" cy="190500"/>
                    </a:xfrm>
                    <a:prstGeom prst="rect"/>
                    <a:ln/>
                  </pic:spPr>
                </pic:pic>
              </a:graphicData>
            </a:graphic>
          </wp:anchor>
        </w:drawing>
      </w:r>
    </w:p>
    <w:p w:rsidR="00000000" w:rsidDel="00000000" w:rsidP="00000000" w:rsidRDefault="00000000" w:rsidRPr="00000000" w14:paraId="00000022">
      <w:pPr>
        <w:pageBreakBefore w:val="0"/>
        <w:jc w:val="right"/>
        <w:rPr/>
      </w:pP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t xml:space="preserve">where </w:t>
      </w:r>
      <w:hyperlink r:id="rId15">
        <w:r w:rsidDel="00000000" w:rsidR="00000000" w:rsidRPr="00000000">
          <w:rPr/>
          <w:drawing>
            <wp:inline distB="19050" distT="19050" distL="19050" distR="19050">
              <wp:extent cx="152400" cy="1270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w:t>
      </w:r>
      <w:hyperlink r:id="rId17">
        <w:r w:rsidDel="00000000" w:rsidR="00000000" w:rsidRPr="00000000">
          <w:rPr/>
          <w:drawing>
            <wp:inline distB="19050" distT="19050" distL="19050" distR="19050">
              <wp:extent cx="228600" cy="12700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28600" cy="127000"/>
                      </a:xfrm>
                      <a:prstGeom prst="rect"/>
                      <a:ln/>
                    </pic:spPr>
                  </pic:pic>
                </a:graphicData>
              </a:graphic>
            </wp:inline>
          </w:drawing>
        </w:r>
      </w:hyperlink>
      <w:r w:rsidDel="00000000" w:rsidR="00000000" w:rsidRPr="00000000">
        <w:rPr>
          <w:rtl w:val="0"/>
        </w:rPr>
        <w:t xml:space="preserve">, </w:t>
      </w:r>
      <w:hyperlink r:id="rId19">
        <w:r w:rsidDel="00000000" w:rsidR="00000000" w:rsidRPr="00000000">
          <w:rPr/>
          <w:drawing>
            <wp:inline distB="19050" distT="19050" distL="19050" distR="19050">
              <wp:extent cx="317500" cy="1270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17500" cy="127000"/>
                      </a:xfrm>
                      <a:prstGeom prst="rect"/>
                      <a:ln/>
                    </pic:spPr>
                  </pic:pic>
                </a:graphicData>
              </a:graphic>
            </wp:inline>
          </w:drawing>
        </w:r>
      </w:hyperlink>
      <w:r w:rsidDel="00000000" w:rsidR="00000000" w:rsidRPr="00000000">
        <w:rPr>
          <w:rtl w:val="0"/>
        </w:rPr>
        <w:t xml:space="preserve"> and </w:t>
      </w:r>
      <w:hyperlink r:id="rId21">
        <w:r w:rsidDel="00000000" w:rsidR="00000000" w:rsidRPr="00000000">
          <w:rPr/>
          <w:drawing>
            <wp:inline distB="19050" distT="19050" distL="19050" distR="19050">
              <wp:extent cx="292100" cy="12700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92100" cy="127000"/>
                      </a:xfrm>
                      <a:prstGeom prst="rect"/>
                      <a:ln/>
                    </pic:spPr>
                  </pic:pic>
                </a:graphicData>
              </a:graphic>
            </wp:inline>
          </w:drawing>
        </w:r>
      </w:hyperlink>
      <w:r w:rsidDel="00000000" w:rsidR="00000000" w:rsidRPr="00000000">
        <w:rPr>
          <w:rtl w:val="0"/>
        </w:rPr>
        <w:t xml:space="preserve"> are the binding, total, substrate and molecule energies, respectively.</w:t>
      </w:r>
      <w:r w:rsidDel="00000000" w:rsidR="00000000" w:rsidRPr="00000000">
        <w:rPr/>
        <w:drawing>
          <wp:inline distB="19050" distT="19050" distL="19050" distR="19050">
            <wp:extent cx="152400" cy="1270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52400" cy="1270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28600" cy="1270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28600" cy="1270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317500" cy="127000"/>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17500" cy="1270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292100" cy="12700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92100" cy="127000"/>
                    </a:xfrm>
                    <a:prstGeom prst="rect"/>
                    <a:ln/>
                  </pic:spPr>
                </pic:pic>
              </a:graphicData>
            </a:graphic>
          </wp:inline>
        </w:drawing>
      </w:r>
      <w:r w:rsidDel="00000000" w:rsidR="00000000" w:rsidRPr="00000000">
        <w:rPr>
          <w:rtl w:val="0"/>
        </w:rPr>
        <w:t xml:space="preserve"> are the binding, total, substrate and molecule energies, respectively. Using </w:t>
      </w:r>
      <w:commentRangeStart w:id="10"/>
      <w:r w:rsidDel="00000000" w:rsidR="00000000" w:rsidRPr="00000000">
        <w:rPr>
          <w:rtl w:val="0"/>
        </w:rPr>
        <w:t xml:space="preserve">Eq. 1 in Eq.2,</w:t>
      </w:r>
      <w:commentRangeEnd w:id="10"/>
      <w:r w:rsidDel="00000000" w:rsidR="00000000" w:rsidRPr="00000000">
        <w:commentReference w:id="10"/>
      </w:r>
      <w:r w:rsidDel="00000000" w:rsidR="00000000" w:rsidRPr="00000000">
        <w:rPr>
          <w:rtl w:val="0"/>
        </w:rPr>
        <w:t xml:space="preserve"> we access the strength of the adsorption.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spacing w:after="0" w:line="273.6" w:lineRule="auto"/>
        <w:ind w:left="1440" w:firstLine="0"/>
        <w:rPr>
          <w:i w:val="1"/>
          <w:highlight w:val="yellow"/>
          <w:u w:val="none"/>
        </w:rPr>
      </w:pPr>
      <w:r w:rsidDel="00000000" w:rsidR="00000000" w:rsidRPr="00000000">
        <w:rPr>
          <w:rtl w:val="0"/>
        </w:rPr>
      </w:r>
    </w:p>
    <w:p w:rsidR="00000000" w:rsidDel="00000000" w:rsidP="00000000" w:rsidRDefault="00000000" w:rsidRPr="00000000" w14:paraId="00000026">
      <w:pPr>
        <w:pStyle w:val="Heading1"/>
        <w:pageBreakBefore w:val="0"/>
        <w:rPr>
          <w:b w:val="1"/>
        </w:rPr>
      </w:pPr>
      <w:bookmarkStart w:colFirst="0" w:colLast="0" w:name="_3znysh7" w:id="3"/>
      <w:bookmarkEnd w:id="3"/>
      <w:r w:rsidDel="00000000" w:rsidR="00000000" w:rsidRPr="00000000">
        <w:rPr>
          <w:b w:val="1"/>
          <w:rtl w:val="0"/>
        </w:rPr>
        <w:t xml:space="preserve">WORK PACKAGES AND TIMELINE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spacing w:after="0" w:lineRule="auto"/>
        <w:rPr>
          <w:b w:val="1"/>
          <w:highlight w:val="yellow"/>
        </w:rPr>
      </w:pPr>
      <w:r w:rsidDel="00000000" w:rsidR="00000000" w:rsidRPr="00000000">
        <w:rPr>
          <w:b w:val="1"/>
          <w:highlight w:val="yellow"/>
          <w:rtl w:val="0"/>
        </w:rPr>
        <w:t xml:space="preserve">DELETE THIS HIGHLIGHTED TEXT IN PRODUCTION MODE</w:t>
      </w:r>
    </w:p>
    <w:p w:rsidR="00000000" w:rsidDel="00000000" w:rsidP="00000000" w:rsidRDefault="00000000" w:rsidRPr="00000000" w14:paraId="00000029">
      <w:pPr>
        <w:pageBreakBefore w:val="0"/>
        <w:spacing w:after="0" w:lineRule="auto"/>
        <w:rPr>
          <w:i w:val="1"/>
          <w:highlight w:val="yellow"/>
        </w:rPr>
      </w:pPr>
      <w:r w:rsidDel="00000000" w:rsidR="00000000" w:rsidRPr="00000000">
        <w:rPr>
          <w:i w:val="1"/>
          <w:highlight w:val="yellow"/>
          <w:rtl w:val="0"/>
        </w:rPr>
        <w:t xml:space="preserve">Describe your workflow (no word count limit).</w:t>
      </w:r>
    </w:p>
    <w:p w:rsidR="00000000" w:rsidDel="00000000" w:rsidP="00000000" w:rsidRDefault="00000000" w:rsidRPr="00000000" w14:paraId="0000002A">
      <w:pPr>
        <w:pageBreakBefore w:val="0"/>
        <w:numPr>
          <w:ilvl w:val="0"/>
          <w:numId w:val="1"/>
        </w:numPr>
        <w:spacing w:after="0" w:lineRule="auto"/>
        <w:ind w:left="360" w:hanging="360"/>
        <w:rPr>
          <w:i w:val="1"/>
          <w:highlight w:val="yellow"/>
        </w:rPr>
      </w:pPr>
      <w:r w:rsidDel="00000000" w:rsidR="00000000" w:rsidRPr="00000000">
        <w:rPr>
          <w:i w:val="1"/>
          <w:highlight w:val="yellow"/>
          <w:rtl w:val="0"/>
        </w:rPr>
        <w:t xml:space="preserve">Divide your work plan into work packages (</w:t>
      </w:r>
      <w:r w:rsidDel="00000000" w:rsidR="00000000" w:rsidRPr="00000000">
        <w:rPr>
          <w:b w:val="1"/>
          <w:i w:val="1"/>
          <w:highlight w:val="yellow"/>
          <w:rtl w:val="0"/>
        </w:rPr>
        <w:t xml:space="preserve">at least four</w:t>
      </w:r>
      <w:r w:rsidDel="00000000" w:rsidR="00000000" w:rsidRPr="00000000">
        <w:rPr>
          <w:i w:val="1"/>
          <w:highlight w:val="yellow"/>
          <w:rtl w:val="0"/>
        </w:rPr>
        <w:t xml:space="preserve">, no upper limit).</w:t>
      </w:r>
    </w:p>
    <w:p w:rsidR="00000000" w:rsidDel="00000000" w:rsidP="00000000" w:rsidRDefault="00000000" w:rsidRPr="00000000" w14:paraId="0000002B">
      <w:pPr>
        <w:pageBreakBefore w:val="0"/>
        <w:numPr>
          <w:ilvl w:val="0"/>
          <w:numId w:val="1"/>
        </w:numPr>
        <w:spacing w:after="0" w:lineRule="auto"/>
        <w:ind w:left="360" w:hanging="360"/>
        <w:rPr>
          <w:i w:val="1"/>
          <w:highlight w:val="yellow"/>
        </w:rPr>
      </w:pPr>
      <w:r w:rsidDel="00000000" w:rsidR="00000000" w:rsidRPr="00000000">
        <w:rPr>
          <w:i w:val="1"/>
          <w:highlight w:val="yellow"/>
          <w:rtl w:val="0"/>
        </w:rPr>
        <w:t xml:space="preserve">Timing a project is very important in academic life. Therefore you should discover and/or know your pace as you progress in the project. Be </w:t>
      </w:r>
      <w:r w:rsidDel="00000000" w:rsidR="00000000" w:rsidRPr="00000000">
        <w:rPr>
          <w:b w:val="1"/>
          <w:i w:val="1"/>
          <w:highlight w:val="yellow"/>
          <w:rtl w:val="0"/>
        </w:rPr>
        <w:t xml:space="preserve">realistic</w:t>
      </w:r>
      <w:r w:rsidDel="00000000" w:rsidR="00000000" w:rsidRPr="00000000">
        <w:rPr>
          <w:i w:val="1"/>
          <w:highlight w:val="yellow"/>
          <w:rtl w:val="0"/>
        </w:rPr>
        <w:t xml:space="preserve"> about your workload and distribute project work to weeks accordingly.</w:t>
      </w:r>
      <w:r w:rsidDel="00000000" w:rsidR="00000000" w:rsidRPr="00000000">
        <w:rPr>
          <w:rtl w:val="0"/>
        </w:rPr>
      </w:r>
    </w:p>
    <w:p w:rsidR="00000000" w:rsidDel="00000000" w:rsidP="00000000" w:rsidRDefault="00000000" w:rsidRPr="00000000" w14:paraId="0000002C">
      <w:pPr>
        <w:pageBreakBefore w:val="0"/>
        <w:numPr>
          <w:ilvl w:val="0"/>
          <w:numId w:val="1"/>
        </w:numPr>
        <w:spacing w:after="0" w:lineRule="auto"/>
        <w:ind w:left="360" w:hanging="360"/>
        <w:rPr>
          <w:i w:val="1"/>
          <w:highlight w:val="yellow"/>
        </w:rPr>
      </w:pPr>
      <w:r w:rsidDel="00000000" w:rsidR="00000000" w:rsidRPr="00000000">
        <w:rPr>
          <w:i w:val="1"/>
          <w:highlight w:val="yellow"/>
          <w:rtl w:val="0"/>
        </w:rPr>
        <w:t xml:space="preserve">You should dedicate one work package to writing the final report, and one to the poster preparation. Both are due in the 14th week so you should plan accordingly. You may opt for working on parts of both throughout the semester (recommended) or at the end.</w:t>
      </w:r>
    </w:p>
    <w:p w:rsidR="00000000" w:rsidDel="00000000" w:rsidP="00000000" w:rsidRDefault="00000000" w:rsidRPr="00000000" w14:paraId="0000002D">
      <w:pPr>
        <w:pageBreakBefore w:val="0"/>
        <w:numPr>
          <w:ilvl w:val="0"/>
          <w:numId w:val="1"/>
        </w:numPr>
        <w:spacing w:after="0" w:lineRule="auto"/>
        <w:ind w:left="360" w:hanging="360"/>
        <w:rPr>
          <w:i w:val="1"/>
          <w:highlight w:val="yellow"/>
        </w:rPr>
      </w:pPr>
      <w:r w:rsidDel="00000000" w:rsidR="00000000" w:rsidRPr="00000000">
        <w:rPr>
          <w:i w:val="1"/>
          <w:highlight w:val="yellow"/>
          <w:rtl w:val="0"/>
        </w:rPr>
        <w:t xml:space="preserve">Mark the timeline for each workpage on the Gannt chart below; for example with a bold face </w:t>
      </w:r>
      <w:r w:rsidDel="00000000" w:rsidR="00000000" w:rsidRPr="00000000">
        <w:rPr>
          <w:b w:val="1"/>
          <w:i w:val="1"/>
          <w:highlight w:val="yellow"/>
          <w:rtl w:val="0"/>
        </w:rPr>
        <w:t xml:space="preserve">X</w:t>
      </w:r>
      <w:r w:rsidDel="00000000" w:rsidR="00000000" w:rsidRPr="00000000">
        <w:rPr>
          <w:i w:val="1"/>
          <w:highlight w:val="yellow"/>
          <w:rtl w:val="0"/>
        </w:rPr>
        <w:t xml:space="preserve"> character. In the table below, explain each work package in detail. 50-100 words/workpackage is enough although you can go lower and higher as long as it is clear. </w:t>
      </w:r>
    </w:p>
    <w:p w:rsidR="00000000" w:rsidDel="00000000" w:rsidP="00000000" w:rsidRDefault="00000000" w:rsidRPr="00000000" w14:paraId="0000002E">
      <w:pPr>
        <w:pageBreakBefore w:val="0"/>
        <w:numPr>
          <w:ilvl w:val="0"/>
          <w:numId w:val="1"/>
        </w:numPr>
        <w:spacing w:after="0" w:lineRule="auto"/>
        <w:ind w:left="360" w:hanging="360"/>
        <w:rPr>
          <w:i w:val="1"/>
          <w:highlight w:val="yellow"/>
        </w:rPr>
      </w:pPr>
      <w:r w:rsidDel="00000000" w:rsidR="00000000" w:rsidRPr="00000000">
        <w:rPr>
          <w:i w:val="1"/>
          <w:highlight w:val="yellow"/>
          <w:rtl w:val="0"/>
        </w:rPr>
        <w:t xml:space="preserve">Work packages can overlap but do not plan to work on too many work packages at the same time.</w:t>
      </w:r>
      <w:r w:rsidDel="00000000" w:rsidR="00000000" w:rsidRPr="00000000">
        <w:rPr>
          <w:rtl w:val="0"/>
        </w:rPr>
      </w:r>
    </w:p>
    <w:p w:rsidR="00000000" w:rsidDel="00000000" w:rsidP="00000000" w:rsidRDefault="00000000" w:rsidRPr="00000000" w14:paraId="0000002F">
      <w:pPr>
        <w:pageBreakBefore w:val="0"/>
        <w:numPr>
          <w:ilvl w:val="0"/>
          <w:numId w:val="1"/>
        </w:numPr>
        <w:spacing w:after="0" w:lineRule="auto"/>
        <w:ind w:left="360" w:hanging="360"/>
        <w:rPr>
          <w:i w:val="1"/>
          <w:highlight w:val="yellow"/>
        </w:rPr>
      </w:pPr>
      <w:r w:rsidDel="00000000" w:rsidR="00000000" w:rsidRPr="00000000">
        <w:rPr>
          <w:i w:val="1"/>
          <w:highlight w:val="yellow"/>
          <w:rtl w:val="0"/>
        </w:rPr>
        <w:t xml:space="preserve">You can increase/decrease the number of work packages.</w:t>
      </w:r>
    </w:p>
    <w:p w:rsidR="00000000" w:rsidDel="00000000" w:rsidP="00000000" w:rsidRDefault="00000000" w:rsidRPr="00000000" w14:paraId="00000030">
      <w:pPr>
        <w:pageBreakBefore w:val="0"/>
        <w:numPr>
          <w:ilvl w:val="0"/>
          <w:numId w:val="1"/>
        </w:numPr>
        <w:spacing w:after="0" w:lineRule="auto"/>
        <w:ind w:left="0" w:firstLine="0"/>
        <w:rPr>
          <w:i w:val="1"/>
          <w:highlight w:val="yellow"/>
        </w:rPr>
      </w:pPr>
      <w:r w:rsidDel="00000000" w:rsidR="00000000" w:rsidRPr="00000000">
        <w:rPr>
          <w:i w:val="1"/>
          <w:highlight w:val="yellow"/>
          <w:rtl w:val="0"/>
        </w:rPr>
        <w:t xml:space="preserve">OPTIONAL!!! Preferably start using a calendar software (such as Google calendar) and mark WPs with notifications. They are called milestones. Certain milestones are much more important than regular ones eg. Oral Exam, Submit Report, Prepare Poster etc. You might color/mark different than the regular ones eg. red/bold face with two notification one week before and one one day before. This is for yourself, you don’t need to turn it in.</w:t>
      </w:r>
    </w:p>
    <w:p w:rsidR="00000000" w:rsidDel="00000000" w:rsidP="00000000" w:rsidRDefault="00000000" w:rsidRPr="00000000" w14:paraId="00000031">
      <w:pPr>
        <w:pageBreakBefore w:val="0"/>
        <w:ind w:left="0" w:firstLine="0"/>
        <w:rPr>
          <w:i w:val="1"/>
        </w:rPr>
      </w:pPr>
      <w:r w:rsidDel="00000000" w:rsidR="00000000" w:rsidRPr="00000000">
        <w:rPr>
          <w:rtl w:val="0"/>
        </w:rPr>
      </w:r>
    </w:p>
    <w:tbl>
      <w:tblPr>
        <w:tblStyle w:val="Table2"/>
        <w:tblW w:w="9548.3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676.8"/>
        <w:gridCol w:w="676.8"/>
        <w:gridCol w:w="676.8"/>
        <w:gridCol w:w="676.8"/>
        <w:gridCol w:w="676.8"/>
        <w:gridCol w:w="676.8"/>
        <w:gridCol w:w="676.8"/>
        <w:gridCol w:w="676.8"/>
        <w:gridCol w:w="676.8"/>
        <w:gridCol w:w="676.8"/>
        <w:gridCol w:w="676.8"/>
        <w:gridCol w:w="676.8"/>
        <w:gridCol w:w="676.8"/>
        <w:tblGridChange w:id="0">
          <w:tblGrid>
            <w:gridCol w:w="750"/>
            <w:gridCol w:w="676.8"/>
            <w:gridCol w:w="676.8"/>
            <w:gridCol w:w="676.8"/>
            <w:gridCol w:w="676.8"/>
            <w:gridCol w:w="676.8"/>
            <w:gridCol w:w="676.8"/>
            <w:gridCol w:w="676.8"/>
            <w:gridCol w:w="676.8"/>
            <w:gridCol w:w="676.8"/>
            <w:gridCol w:w="676.8"/>
            <w:gridCol w:w="676.8"/>
            <w:gridCol w:w="676.8"/>
            <w:gridCol w:w="676.8"/>
          </w:tblGrid>
        </w:tblGridChange>
      </w:tblGrid>
      <w:tr>
        <w:trPr>
          <w:cantSplit w:val="0"/>
          <w:trHeight w:val="340" w:hRule="atLeast"/>
          <w:tblHeader w:val="0"/>
        </w:trPr>
        <w:tc>
          <w:tcPr>
            <w:tcBorders>
              <w:top w:color="ffffff" w:space="0" w:sz="8" w:val="single"/>
              <w:left w:color="ffffff" w:space="0" w:sz="8" w:val="single"/>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gridSpan w:val="13"/>
            <w:shd w:fill="efefef" w:val="clear"/>
            <w:tcMar>
              <w:top w:w="72.0" w:type="dxa"/>
              <w:left w:w="72.0" w:type="dxa"/>
              <w:bottom w:w="72.0" w:type="dxa"/>
              <w:right w:w="72.0" w:type="dxa"/>
            </w:tcMar>
            <w:vAlign w:val="center"/>
          </w:tcPr>
          <w:p w:rsidR="00000000" w:rsidDel="00000000" w:rsidP="00000000" w:rsidRDefault="00000000" w:rsidRPr="00000000" w14:paraId="00000033">
            <w:pPr>
              <w:pageBreakBefore w:val="0"/>
              <w:widowControl w:val="0"/>
              <w:spacing w:line="240" w:lineRule="auto"/>
              <w:jc w:val="center"/>
              <w:rPr>
                <w:b w:val="1"/>
                <w:sz w:val="20"/>
                <w:szCs w:val="20"/>
              </w:rPr>
            </w:pPr>
            <w:r w:rsidDel="00000000" w:rsidR="00000000" w:rsidRPr="00000000">
              <w:rPr>
                <w:b w:val="1"/>
                <w:sz w:val="20"/>
                <w:szCs w:val="20"/>
                <w:rtl w:val="0"/>
              </w:rPr>
              <w:t xml:space="preserve">Weeks</w:t>
            </w:r>
          </w:p>
        </w:tc>
      </w:tr>
      <w:tr>
        <w:trPr>
          <w:cantSplit w:val="0"/>
          <w:tblHeader w:val="0"/>
        </w:trPr>
        <w:tc>
          <w:tcPr>
            <w:tcBorders>
              <w:top w:color="ffffff" w:space="0" w:sz="8" w:val="single"/>
              <w:left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41">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2">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3">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4">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5">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6">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7">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8">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9">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A">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B">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C">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D">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1</w:t>
            </w:r>
          </w:p>
        </w:tc>
        <w:tc>
          <w:tcPr>
            <w:tcMar>
              <w:top w:w="72.0" w:type="dxa"/>
              <w:left w:w="72.0" w:type="dxa"/>
              <w:bottom w:w="72.0" w:type="dxa"/>
              <w:right w:w="72.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tcMar>
              <w:top w:w="72.0" w:type="dxa"/>
              <w:left w:w="72.0" w:type="dxa"/>
              <w:bottom w:w="72.0" w:type="dxa"/>
              <w:right w:w="72.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tcMar>
              <w:top w:w="72.0" w:type="dxa"/>
              <w:left w:w="72.0" w:type="dxa"/>
              <w:bottom w:w="72.0" w:type="dxa"/>
              <w:right w:w="72.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tcMar>
              <w:top w:w="72.0" w:type="dxa"/>
              <w:left w:w="72.0" w:type="dxa"/>
              <w:bottom w:w="72.0" w:type="dxa"/>
              <w:right w:w="72.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tcMar>
              <w:top w:w="72.0" w:type="dxa"/>
              <w:left w:w="72.0" w:type="dxa"/>
              <w:bottom w:w="72.0" w:type="dxa"/>
              <w:right w:w="72.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2</w:t>
            </w:r>
          </w:p>
        </w:tc>
        <w:tc>
          <w:tcPr>
            <w:shd w:fill="efefef" w:val="clear"/>
            <w:tcMar>
              <w:top w:w="72.0" w:type="dxa"/>
              <w:left w:w="72.0" w:type="dxa"/>
              <w:bottom w:w="72.0" w:type="dxa"/>
              <w:right w:w="72.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efefef" w:val="clear"/>
            <w:tcMar>
              <w:top w:w="72.0" w:type="dxa"/>
              <w:left w:w="72.0" w:type="dxa"/>
              <w:bottom w:w="72.0" w:type="dxa"/>
              <w:right w:w="72.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efefef" w:val="clear"/>
            <w:tcMar>
              <w:top w:w="72.0" w:type="dxa"/>
              <w:left w:w="72.0" w:type="dxa"/>
              <w:bottom w:w="72.0" w:type="dxa"/>
              <w:right w:w="72.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3</w:t>
            </w:r>
          </w:p>
        </w:tc>
        <w:tc>
          <w:tcPr>
            <w:shd w:fill="auto" w:val="clear"/>
            <w:tcMar>
              <w:top w:w="72.0" w:type="dxa"/>
              <w:left w:w="72.0" w:type="dxa"/>
              <w:bottom w:w="72.0" w:type="dxa"/>
              <w:right w:w="72.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4</w:t>
            </w:r>
          </w:p>
        </w:tc>
        <w:tc>
          <w:tcPr>
            <w:shd w:fill="f3f3f3" w:val="clear"/>
            <w:tcMar>
              <w:top w:w="72.0" w:type="dxa"/>
              <w:left w:w="72.0" w:type="dxa"/>
              <w:bottom w:w="72.0" w:type="dxa"/>
              <w:right w:w="72.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f3f3f3" w:val="clear"/>
            <w:tcMar>
              <w:top w:w="72.0" w:type="dxa"/>
              <w:left w:w="72.0" w:type="dxa"/>
              <w:bottom w:w="72.0" w:type="dxa"/>
              <w:right w:w="72.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f3f3f3" w:val="clear"/>
            <w:tcMar>
              <w:top w:w="72.0" w:type="dxa"/>
              <w:left w:w="72.0" w:type="dxa"/>
              <w:bottom w:w="72.0" w:type="dxa"/>
              <w:right w:w="72.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f3f3f3" w:val="clear"/>
            <w:tcMar>
              <w:top w:w="72.0" w:type="dxa"/>
              <w:left w:w="72.0" w:type="dxa"/>
              <w:bottom w:w="72.0" w:type="dxa"/>
              <w:right w:w="72.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5</w:t>
            </w:r>
          </w:p>
        </w:tc>
        <w:tc>
          <w:tcPr>
            <w:shd w:fill="auto" w:val="clear"/>
            <w:tcMar>
              <w:top w:w="72.0" w:type="dxa"/>
              <w:left w:w="72.0" w:type="dxa"/>
              <w:bottom w:w="72.0" w:type="dxa"/>
              <w:right w:w="72.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after="0" w:line="240" w:lineRule="auto"/>
              <w:jc w:val="center"/>
              <w:rPr>
                <w:b w:val="1"/>
                <w:sz w:val="20"/>
                <w:szCs w:val="20"/>
              </w:rPr>
            </w:pPr>
            <w:r w:rsidDel="00000000" w:rsidR="00000000" w:rsidRPr="00000000">
              <w:rPr>
                <w:b w:val="1"/>
                <w:sz w:val="20"/>
                <w:szCs w:val="20"/>
                <w:rtl w:val="0"/>
              </w:rPr>
              <w:t xml:space="preserve">WP 6</w:t>
            </w:r>
          </w:p>
        </w:tc>
        <w:tc>
          <w:tcPr>
            <w:shd w:fill="efefef" w:val="clear"/>
            <w:tcMar>
              <w:top w:w="72.0" w:type="dxa"/>
              <w:left w:w="72.0" w:type="dxa"/>
              <w:bottom w:w="72.0" w:type="dxa"/>
              <w:right w:w="72.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efefef" w:val="clear"/>
            <w:tcMar>
              <w:top w:w="72.0" w:type="dxa"/>
              <w:left w:w="72.0" w:type="dxa"/>
              <w:bottom w:w="72.0" w:type="dxa"/>
              <w:right w:w="72.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efefef" w:val="clear"/>
            <w:tcMar>
              <w:top w:w="72.0" w:type="dxa"/>
              <w:left w:w="72.0" w:type="dxa"/>
              <w:bottom w:w="72.0" w:type="dxa"/>
              <w:right w:w="72.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2">
            <w:pPr>
              <w:pageBreakBefore w:val="0"/>
              <w:widowControl w:val="0"/>
              <w:spacing w:after="0" w:line="240" w:lineRule="auto"/>
              <w:jc w:val="center"/>
              <w:rPr>
                <w:b w:val="1"/>
                <w:sz w:val="20"/>
                <w:szCs w:val="20"/>
              </w:rPr>
            </w:pPr>
            <w:r w:rsidDel="00000000" w:rsidR="00000000" w:rsidRPr="00000000">
              <w:rPr>
                <w:b w:val="1"/>
                <w:sz w:val="20"/>
                <w:szCs w:val="20"/>
                <w:rtl w:val="0"/>
              </w:rPr>
              <w:t xml:space="preserve">WP 7</w:t>
            </w:r>
          </w:p>
        </w:tc>
        <w:tc>
          <w:tcPr>
            <w:shd w:fill="auto" w:val="clear"/>
            <w:tcMar>
              <w:top w:w="72.0" w:type="dxa"/>
              <w:left w:w="72.0" w:type="dxa"/>
              <w:bottom w:w="72.0" w:type="dxa"/>
              <w:right w:w="72.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72.0" w:type="dxa"/>
              <w:left w:w="72.0" w:type="dxa"/>
              <w:bottom w:w="72.0" w:type="dxa"/>
              <w:right w:w="72.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B0">
      <w:pPr>
        <w:pageBreakBefore w:val="0"/>
        <w:ind w:left="0" w:firstLine="0"/>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970"/>
        <w:tblGridChange w:id="0">
          <w:tblGrid>
            <w:gridCol w:w="750"/>
            <w:gridCol w:w="897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of Work Packages</w:t>
            </w:r>
          </w:p>
        </w:tc>
      </w:tr>
      <w:tr>
        <w:trPr>
          <w:cantSplit w:val="0"/>
          <w:trHeight w:val="5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11"/>
            <w:r w:rsidDel="00000000" w:rsidR="00000000" w:rsidRPr="00000000">
              <w:rPr>
                <w:sz w:val="20"/>
                <w:szCs w:val="20"/>
                <w:rtl w:val="0"/>
              </w:rPr>
              <w:t xml:space="preserve">Literature search and reading up on density functional theory</w:t>
            </w:r>
            <w:commentRangeEnd w:id="11"/>
            <w:r w:rsidDel="00000000" w:rsidR="00000000" w:rsidRPr="00000000">
              <w:commentReference w:id="11"/>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Learn the software and preliminary calculations such as lattice constant of graphene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Calculation of adsorption energies of benzene and toluene on pristine graphene and comparison to literature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12"/>
            <w:r w:rsidDel="00000000" w:rsidR="00000000" w:rsidRPr="00000000">
              <w:rPr>
                <w:sz w:val="20"/>
                <w:szCs w:val="20"/>
                <w:rtl w:val="0"/>
              </w:rPr>
              <w:t xml:space="preserve">Write the introduction and methods part of the written report.</w:t>
            </w:r>
            <w:commentRangeEnd w:id="12"/>
            <w:r w:rsidDel="00000000" w:rsidR="00000000" w:rsidRPr="00000000">
              <w:commentReference w:id="12"/>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after="0" w:line="240" w:lineRule="auto"/>
              <w:jc w:val="left"/>
              <w:rPr>
                <w:b w:val="1"/>
              </w:rPr>
            </w:pPr>
            <w:r w:rsidDel="00000000" w:rsidR="00000000" w:rsidRPr="00000000">
              <w:rPr>
                <w:b w:val="1"/>
                <w:rtl w:val="0"/>
              </w:rPr>
              <w:t xml:space="preserve">WP5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Calculation of adsorption energies of benzene and toluene on graphene with single and double vacancy. Comparison of these results to those on pristine graphene.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after="0" w:line="240" w:lineRule="auto"/>
              <w:jc w:val="left"/>
              <w:rPr>
                <w:b w:val="1"/>
              </w:rPr>
            </w:pPr>
            <w:r w:rsidDel="00000000" w:rsidR="00000000" w:rsidRPr="00000000">
              <w:rPr>
                <w:b w:val="1"/>
                <w:rtl w:val="0"/>
              </w:rPr>
              <w:t xml:space="preserve">WP6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Prepare the poster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line="240" w:lineRule="auto"/>
              <w:jc w:val="left"/>
              <w:rPr>
                <w:b w:val="1"/>
              </w:rPr>
            </w:pPr>
            <w:r w:rsidDel="00000000" w:rsidR="00000000" w:rsidRPr="00000000">
              <w:rPr>
                <w:b w:val="1"/>
                <w:rtl w:val="0"/>
              </w:rPr>
              <w:t xml:space="preserve">WP7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Finalize the written report (results and conclusion)</w:t>
            </w:r>
          </w:p>
        </w:tc>
      </w:tr>
    </w:tbl>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Style w:val="Heading1"/>
        <w:pageBreakBefore w:val="0"/>
        <w:rPr/>
      </w:pPr>
      <w:bookmarkStart w:colFirst="0" w:colLast="0" w:name="_2et92p0" w:id="4"/>
      <w:bookmarkEnd w:id="4"/>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[1] Volovik, G. E. </w:t>
      </w:r>
      <w:r w:rsidDel="00000000" w:rsidR="00000000" w:rsidRPr="00000000">
        <w:rPr>
          <w:i w:val="1"/>
          <w:rtl w:val="0"/>
        </w:rPr>
        <w:t xml:space="preserve">The Universe in a Helium Droplet</w:t>
      </w:r>
      <w:r w:rsidDel="00000000" w:rsidR="00000000" w:rsidRPr="00000000">
        <w:rPr>
          <w:rtl w:val="0"/>
        </w:rPr>
        <w:t xml:space="preserve"> (Clarendon, Oxford, 2003)    </w:t>
      </w:r>
    </w:p>
    <w:p w:rsidR="00000000" w:rsidDel="00000000" w:rsidP="00000000" w:rsidRDefault="00000000" w:rsidRPr="00000000" w14:paraId="000000C4">
      <w:pPr>
        <w:pageBreakBefore w:val="0"/>
        <w:rPr>
          <w:highlight w:val="yellow"/>
        </w:rPr>
      </w:pPr>
      <w:r w:rsidDel="00000000" w:rsidR="00000000" w:rsidRPr="00000000">
        <w:rPr>
          <w:rtl w:val="0"/>
        </w:rPr>
        <w:t xml:space="preserve">[2] Novoselov, K. S. et al. Two dimensional atomic crystals. </w:t>
      </w:r>
      <w:r w:rsidDel="00000000" w:rsidR="00000000" w:rsidRPr="00000000">
        <w:rPr>
          <w:i w:val="1"/>
          <w:rtl w:val="0"/>
        </w:rPr>
        <w:t xml:space="preserve">Proc. Natl Acad. Sci. USA</w:t>
      </w:r>
      <w:r w:rsidDel="00000000" w:rsidR="00000000" w:rsidRPr="00000000">
        <w:rPr>
          <w:rtl w:val="0"/>
        </w:rPr>
        <w:t xml:space="preserve"> </w:t>
      </w:r>
      <w:r w:rsidDel="00000000" w:rsidR="00000000" w:rsidRPr="00000000">
        <w:rPr>
          <w:b w:val="1"/>
          <w:rtl w:val="0"/>
        </w:rPr>
        <w:t xml:space="preserve">102</w:t>
      </w:r>
      <w:r w:rsidDel="00000000" w:rsidR="00000000" w:rsidRPr="00000000">
        <w:rPr>
          <w:rtl w:val="0"/>
        </w:rPr>
        <w:t xml:space="preserve">, 10451–10453 (2005)</w:t>
      </w:r>
      <w:r w:rsidDel="00000000" w:rsidR="00000000" w:rsidRPr="00000000">
        <w:rPr>
          <w:rtl w:val="0"/>
        </w:rPr>
      </w:r>
    </w:p>
    <w:p w:rsidR="00000000" w:rsidDel="00000000" w:rsidP="00000000" w:rsidRDefault="00000000" w:rsidRPr="00000000" w14:paraId="000000C5">
      <w:pPr>
        <w:pageBreakBefore w:val="0"/>
        <w:rPr>
          <w:color w:val="222222"/>
          <w:highlight w:val="white"/>
        </w:rPr>
      </w:pPr>
      <w:r w:rsidDel="00000000" w:rsidR="00000000" w:rsidRPr="00000000">
        <w:rPr>
          <w:rtl w:val="0"/>
        </w:rPr>
        <w:t xml:space="preserve">[3] </w:t>
      </w:r>
      <w:r w:rsidDel="00000000" w:rsidR="00000000" w:rsidRPr="00000000">
        <w:rPr>
          <w:color w:val="222222"/>
          <w:highlight w:val="white"/>
          <w:rtl w:val="0"/>
        </w:rPr>
        <w:t xml:space="preserve">Zhang, Y., Small, J. P., Amori, M. E. S. &amp; Kim, P. Electric field modulation of galvanomagnetic properties of mesoscopic graphite. </w:t>
      </w:r>
      <w:r w:rsidDel="00000000" w:rsidR="00000000" w:rsidRPr="00000000">
        <w:rPr>
          <w:i w:val="1"/>
          <w:color w:val="222222"/>
          <w:highlight w:val="white"/>
          <w:rtl w:val="0"/>
        </w:rPr>
        <w:t xml:space="preserve">Phys. Rev. Lett.</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94</w:t>
      </w:r>
      <w:r w:rsidDel="00000000" w:rsidR="00000000" w:rsidRPr="00000000">
        <w:rPr>
          <w:color w:val="222222"/>
          <w:highlight w:val="white"/>
          <w:rtl w:val="0"/>
        </w:rPr>
        <w:t xml:space="preserve">, 176803 (2005)</w:t>
      </w:r>
    </w:p>
    <w:p w:rsidR="00000000" w:rsidDel="00000000" w:rsidP="00000000" w:rsidRDefault="00000000" w:rsidRPr="00000000" w14:paraId="000000C6">
      <w:pPr>
        <w:pageBreakBefore w:val="0"/>
        <w:rPr>
          <w:color w:val="222222"/>
          <w:highlight w:val="white"/>
        </w:rPr>
      </w:pPr>
      <w:r w:rsidDel="00000000" w:rsidR="00000000" w:rsidRPr="00000000">
        <w:rPr>
          <w:color w:val="222222"/>
          <w:highlight w:val="white"/>
          <w:rtl w:val="0"/>
        </w:rPr>
        <w:t xml:space="preserve">[4] ...</w:t>
      </w:r>
    </w:p>
    <w:p w:rsidR="00000000" w:rsidDel="00000000" w:rsidP="00000000" w:rsidRDefault="00000000" w:rsidRPr="00000000" w14:paraId="000000C7">
      <w:pPr>
        <w:pageBreakBefore w:val="0"/>
        <w:ind w:left="0" w:firstLine="0"/>
        <w:rPr>
          <w:b w:val="1"/>
          <w:highlight w:val="yellow"/>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t xml:space="preserve"> </w:t>
      </w:r>
    </w:p>
    <w:sectPr>
      <w:headerReference r:id="rId23" w:type="default"/>
      <w:footerReference r:id="rId24" w:type="default"/>
      <w:pgSz w:h="16838" w:w="11906"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de Toffoli" w:id="3" w:date="2019-02-18T21:45:4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usage of references.</w:t>
      </w:r>
    </w:p>
  </w:comment>
  <w:comment w:author="Hande Toffoli" w:id="1" w:date="2019-02-18T21:44:06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technique, without giving details.</w:t>
      </w:r>
    </w:p>
  </w:comment>
  <w:comment w:author="Hande Toffoli" w:id="4" w:date="2019-02-18T21:46:4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your literature search into a narrative instead of a list of who did what.</w:t>
      </w:r>
    </w:p>
  </w:comment>
  <w:comment w:author="Hande Toffoli" w:id="2" w:date="2019-02-18T21:44:57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test your hypothesis or answer your research question.</w:t>
      </w:r>
    </w:p>
  </w:comment>
  <w:comment w:author="Hande Toffoli" w:id="6" w:date="2019-02-18T21:47:32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your work fit in to the rest of literature? It can be reproducing something already done or something new.</w:t>
      </w:r>
    </w:p>
  </w:comment>
  <w:comment w:author="Hande Toffoli" w:id="12" w:date="2019-02-18T21:50:0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plan your report and/or poster throughout the semester or at the end. Your choice.</w:t>
      </w:r>
    </w:p>
  </w:comment>
  <w:comment w:author="Hande Toffoli" w:id="0" w:date="2019-02-18T21:43:25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you state the hypothesis. You do not have to state the main question as a hypothesis. Just make sure that you state clearly what you are looking for.</w:t>
      </w:r>
    </w:p>
  </w:comment>
  <w:comment w:author="Hande Toffoli" w:id="10" w:date="2019-02-18T21:48:2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Equations using their labels.</w:t>
      </w:r>
    </w:p>
  </w:comment>
  <w:comment w:author="Hande Toffoli" w:id="5" w:date="2019-02-21T11:23:3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figure and table in your report must be referenced in the text.</w:t>
      </w:r>
    </w:p>
  </w:comment>
  <w:comment w:author="Hande Toffoli" w:id="11" w:date="2019-02-21T11:02:5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project is more on the anaytical side, you can extend this WP to the entire semester.</w:t>
      </w:r>
    </w:p>
  </w:comment>
  <w:comment w:author="Hande Toffoli" w:id="8" w:date="2019-02-21T11:25:5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your equations.</w:t>
      </w:r>
    </w:p>
  </w:comment>
  <w:comment w:author="Hande Toffoli" w:id="7" w:date="2019-02-21T11:20:08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your figures appropriately.</w:t>
      </w:r>
    </w:p>
  </w:comment>
  <w:comment w:author="Hande Toffoli" w:id="9" w:date="2019-02-18T21:48:03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your variables.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tabs>
        <w:tab w:val="right" w:pos="9630"/>
        <w:tab w:val="center" w:pos="5040"/>
      </w:tabs>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ageBreakBefore w:val="0"/>
      <w:tabs>
        <w:tab w:val="right" w:pos="9630"/>
        <w:tab w:val="center" w:pos="5040"/>
      </w:tabs>
      <w:spacing w:after="0" w:line="240" w:lineRule="auto"/>
      <w:rPr/>
    </w:pPr>
    <w:r w:rsidDel="00000000" w:rsidR="00000000" w:rsidRPr="00000000">
      <w:rPr>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tabs>
        <w:tab w:val="right" w:pos="9630"/>
        <w:tab w:val="center" w:pos="5040"/>
      </w:tabs>
      <w:spacing w:after="0" w:line="240" w:lineRule="auto"/>
      <w:rPr/>
    </w:pPr>
    <w:r w:rsidDel="00000000" w:rsidR="00000000" w:rsidRPr="00000000">
      <w:rPr>
        <w:rtl w:val="0"/>
      </w:rPr>
      <w:t xml:space="preserve">PHYS 400</w:t>
      <w:tab/>
    </w:r>
    <w:r w:rsidDel="00000000" w:rsidR="00000000" w:rsidRPr="00000000">
      <w:rPr>
        <w:b w:val="1"/>
        <w:rtl w:val="0"/>
      </w:rPr>
      <w:t xml:space="preserve">PROJECT PROPOSAL</w:t>
    </w:r>
    <w:r w:rsidDel="00000000" w:rsidR="00000000" w:rsidRPr="00000000">
      <w:rPr>
        <w:rtl w:val="0"/>
      </w:rPr>
      <w:tab/>
      <w:t xml:space="preserve">2020-1</w:t>
    </w:r>
  </w:p>
  <w:p w:rsidR="00000000" w:rsidDel="00000000" w:rsidP="00000000" w:rsidRDefault="00000000" w:rsidRPr="00000000" w14:paraId="000000CA">
    <w:pPr>
      <w:pageBreakBefore w:val="0"/>
      <w:tabs>
        <w:tab w:val="right" w:pos="9630"/>
        <w:tab w:val="center" w:pos="5040"/>
      </w:tabs>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40" w:line="24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40" w:before="240" w:line="240" w:lineRule="auto"/>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22" Type="http://schemas.openxmlformats.org/officeDocument/2006/relationships/image" Target="media/image9.png"/><Relationship Id="rId10" Type="http://schemas.openxmlformats.org/officeDocument/2006/relationships/hyperlink" Target="https://www.codecogs.com/eqnedit.php?latex=n%0" TargetMode="External"/><Relationship Id="rId21" Type="http://schemas.openxmlformats.org/officeDocument/2006/relationships/hyperlink" Target="https://www.codecogs.com/eqnedit.php?latex=E_%7Bmol%7D%0" TargetMode="External"/><Relationship Id="rId13" Type="http://schemas.openxmlformats.org/officeDocument/2006/relationships/image" Target="media/image2.png"/><Relationship Id="rId24" Type="http://schemas.openxmlformats.org/officeDocument/2006/relationships/footer" Target="footer1.xml"/><Relationship Id="rId12" Type="http://schemas.openxmlformats.org/officeDocument/2006/relationships/hyperlink" Target="https://www.codecogs.com/eqnedit.php?latex=%5Cvec%7Br%7D%0"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www.codecogs.com/eqnedit.php?latex=E_b%0" TargetMode="External"/><Relationship Id="rId14" Type="http://schemas.openxmlformats.org/officeDocument/2006/relationships/image" Target="media/image8.png"/><Relationship Id="rId17" Type="http://schemas.openxmlformats.org/officeDocument/2006/relationships/hyperlink" Target="https://www.codecogs.com/eqnedit.php?latex=E_%7Btot%7D%0" TargetMode="External"/><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yperlink" Target="https://www.codecogs.com/eqnedit.php?latex=E_%7Bsubs%7D%0" TargetMode="External"/><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