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FreshCo Software, Inc. — balance sheet at 30 September 2026 (synthetic demo data, unaudited)</w:t>
      </w:r>
    </w:p>
    <w:p>
      <w:r>
        <w:t xml:space="preserve">Cash and cash equivalents: USD 310,000 Trade receivables: USD 118,000</w:t>
      </w:r>
    </w:p>
    <w:p>
      <w:r>
        <w:t xml:space="preserve">Term loan with Lakeside Bank, outstanding principal: USD 450,000 Shareholder loan from the founders: USD 75,000 Deferred revenue on annual subscriptions billed in advance: USD 96,000 Accrued bonuses for 2026, unpaid: USD 42,000 Earn-out payable for the 2024 acquisition of Ledgerbird: USD 60,000</w:t>
      </w:r>
    </w:p>
  </w:body>
</w:document>
</file>