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TERM LOAN AGREEMENT (synthetic demo document)</w:t>
      </w:r>
    </w:p>
    <w:p>
      <w:r>
        <w:t xml:space="preserve">Lender: Lakeside Bank N.A. Borrower: FreshCo Software, Inc. Principal: USD 600,000, drawn on 1 February 2025.</w:t>
      </w:r>
    </w:p>
    <w:p>
      <w:r>
        <w:t xml:space="preserve">7. MANDATORY PREPAYMENT. On a Change of Control of the Borrower, the outstanding principal and accrued interest become due and payable within thirty (30) days.</w:t>
      </w:r>
    </w:p>
    <w:p>
      <w:r>
        <w:t xml:space="preserve">8. COVENANTS. The Borrower shall maintain annual recurring revenue of at least USD 1,500,000, tested quarterly.</w:t>
      </w:r>
    </w:p>
  </w:body>
</w:document>
</file>