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p>
    <w:p>
      <w:pPr>
        <w:spacing w:after="40" w:before="0"/>
        <w:jc w:val="center"/>
      </w:pPr>
      <w:r>
        <w:rPr>
          <w:rFonts w:ascii="Arial" w:cs="Arial" w:eastAsia="Arial" w:hAnsi="Arial"/>
          <w:b/>
          <w:bCs/>
          <w:caps/>
          <w:color w:val="1F3864"/>
          <w:sz w:val="28"/>
          <w:szCs w:val="28"/>
        </w:rPr>
        <w:t xml:space="preserve">MASERU DIGITAL SECURITIES MARKET</w:t>
      </w:r>
    </w:p>
    <w:p>
      <w:pPr>
        <w:spacing w:after="200" w:before="0"/>
        <w:jc w:val="center"/>
      </w:pPr>
      <w:r>
        <w:rPr>
          <w:rFonts w:ascii="Arial" w:cs="Arial" w:eastAsia="Arial" w:hAnsi="Arial"/>
          <w:color w:val="555555"/>
          <w:sz w:val="22"/>
          <w:szCs w:val="22"/>
        </w:rPr>
        <w:t xml:space="preserve">National University of Lesotho — Faculty of Science &amp; Technology</w:t>
      </w:r>
    </w:p>
    <w:p>
      <w:pPr>
        <w:pBdr>
          <w:bottom w:val="single" w:color="C9A227" w:sz="12" w:space="1"/>
        </w:pBdr>
        <w:spacing w:after="0" w:before="0"/>
      </w:pPr>
    </w:p>
    <w:p>
      <w:pPr>
        <w:spacing w:after="400" w:before="0"/>
      </w:pPr>
    </w:p>
    <w:p>
      <w:pPr>
        <w:spacing w:after="40" w:before="120"/>
        <w:jc w:val="center"/>
      </w:pPr>
      <w:r>
        <w:rPr>
          <w:rFonts w:ascii="Arial" w:cs="Arial" w:eastAsia="Arial" w:hAnsi="Arial"/>
          <w:b/>
          <w:bCs/>
          <w:caps/>
          <w:color w:val="2E75B6"/>
          <w:sz w:val="52"/>
          <w:szCs w:val="52"/>
        </w:rPr>
        <w:t xml:space="preserve">CHAPTER 5</w:t>
      </w:r>
    </w:p>
    <w:p>
      <w:pPr>
        <w:spacing w:after="80" w:before="0"/>
        <w:jc w:val="center"/>
      </w:pPr>
      <w:r>
        <w:rPr>
          <w:rFonts w:ascii="Arial" w:cs="Arial" w:eastAsia="Arial" w:hAnsi="Arial"/>
          <w:b/>
          <w:bCs/>
          <w:color w:val="1F3864"/>
          <w:sz w:val="44"/>
          <w:szCs w:val="44"/>
        </w:rPr>
        <w:t xml:space="preserve">Recommendations and Future Work</w:t>
      </w:r>
    </w:p>
    <w:p>
      <w:pPr>
        <w:spacing w:after="400" w:before="0"/>
      </w:pPr>
    </w:p>
    <w:p>
      <w:pPr>
        <w:pBdr>
          <w:bottom w:val="single" w:color="C9A227" w:sz="12" w:space="1"/>
        </w:pBdr>
        <w:spacing w:after="0" w:before="0"/>
      </w:pPr>
    </w:p>
    <w:p>
      <w:pPr>
        <w:spacing w:after="3600" w:before="0"/>
      </w:pPr>
    </w:p>
    <w:p>
      <w:pPr>
        <w:spacing w:after="60" w:before="0"/>
        <w:jc w:val="center"/>
      </w:pPr>
      <w:r>
        <w:rPr>
          <w:rFonts w:ascii="Arial" w:cs="Arial" w:eastAsia="Arial" w:hAnsi="Arial"/>
          <w:i/>
          <w:iCs/>
          <w:color w:val="444444"/>
          <w:sz w:val="24"/>
          <w:szCs w:val="24"/>
        </w:rPr>
        <w:t xml:space="preserve">Bachelor of Science in Computer Science (Honours)</w:t>
      </w:r>
    </w:p>
    <w:p>
      <w:pPr>
        <w:spacing w:after="60" w:before="0"/>
        <w:jc w:val="center"/>
      </w:pPr>
      <w:r>
        <w:rPr>
          <w:rFonts w:ascii="Arial" w:cs="Arial" w:eastAsia="Arial" w:hAnsi="Arial"/>
          <w:color w:val="444444"/>
          <w:sz w:val="24"/>
          <w:szCs w:val="24"/>
        </w:rPr>
        <w:t xml:space="preserve">Supervisor: [Supervisor Name]</w:t>
      </w:r>
    </w:p>
    <w:p>
      <w:pPr>
        <w:spacing w:after="60" w:before="0"/>
        <w:jc w:val="center"/>
      </w:pPr>
      <w:r>
        <w:rPr>
          <w:rFonts w:ascii="Arial" w:cs="Arial" w:eastAsia="Arial" w:hAnsi="Arial"/>
          <w:color w:val="444444"/>
          <w:sz w:val="24"/>
          <w:szCs w:val="24"/>
        </w:rPr>
        <w:t xml:space="preserve">May 2026</w:t>
      </w:r>
    </w:p>
    <w:p>
      <w:r>
        <w:br w:type="page"/>
      </w:r>
    </w:p>
    <w:p>
      <w:pPr>
        <w:sectPr>
          <w:pgSz w:w="12240" w:h="15840" w:orient="portrait"/>
          <w:pgMar w:top="1440" w:right="1440" w:bottom="1440" w:left="1800" w:header="708" w:footer="708" w:gutter="0"/>
          <w:pgNumType/>
          <w:docGrid w:linePitch="360"/>
        </w:sectPr>
      </w:pPr>
    </w:p>
    <w:p>
      <w:pPr>
        <w:pStyle w:val="Heading1"/>
        <w:spacing w:after="120" w:before="480"/>
      </w:pPr>
      <w:r>
        <w:rPr>
          <w:rFonts w:ascii="Arial" w:cs="Arial" w:eastAsia="Arial" w:hAnsi="Arial"/>
          <w:b/>
          <w:bCs/>
          <w:color w:val="1F3864"/>
          <w:sz w:val="36"/>
          <w:szCs w:val="36"/>
        </w:rPr>
        <w:t xml:space="preserve">5.1  Introduction</w:t>
      </w:r>
    </w:p>
    <w:p>
      <w:pPr>
        <w:pBdr>
          <w:bottom w:val="single" w:color="2E75B6" w:sz="6" w:space="1"/>
        </w:pBdr>
        <w:spacing w:after="0" w:before="0"/>
      </w:pPr>
    </w:p>
    <w:p>
      <w:pPr>
        <w:spacing w:after="80" w:before="0"/>
      </w:pPr>
    </w:p>
    <w:p>
      <w:pPr>
        <w:spacing w:after="120" w:before="80"/>
        <w:jc w:val="both"/>
      </w:pPr>
      <w:r>
        <w:rPr>
          <w:rFonts w:ascii="Arial" w:cs="Arial" w:eastAsia="Arial" w:hAnsi="Arial"/>
          <w:sz w:val="24"/>
          <w:szCs w:val="24"/>
        </w:rPr>
        <w:t xml:space="preserve">This chapter synthesises the findings and lessons learned from designing, implementing, and deploying the Maseru Digital Securities Market (MDSM) — a blockchain-integrated digital securities trading platform built for the Kingdom of Lesotho. Following the technical implementation presented in Chapter 4, this chapter offers evidence-based recommendations for improving the current system and outlines a roadmap of future work that would elevate MDSM from a functioning prototype into a production-grade, regulated national securities infrastructure.</w:t>
      </w:r>
    </w:p>
    <w:p>
      <w:pPr>
        <w:spacing w:after="120" w:before="80"/>
        <w:jc w:val="both"/>
      </w:pPr>
      <w:r>
        <w:rPr>
          <w:rFonts w:ascii="Arial" w:cs="Arial" w:eastAsia="Arial" w:hAnsi="Arial"/>
          <w:sz w:val="24"/>
          <w:szCs w:val="24"/>
        </w:rPr>
        <w:t xml:space="preserve">The recommendations address immediate technical gaps identified during development and testing, while the future work section presents medium-to-long-term enhancements aligned with international financial market standards, emerging blockchain capabilities, and the regulatory obligations of the Lesotho Central Bank and the Capital Markets Authority.</w:t>
      </w:r>
    </w:p>
    <w:p>
      <w:pPr>
        <w:spacing w:after="120" w:before="80"/>
        <w:jc w:val="both"/>
      </w:pPr>
      <w:r>
        <w:rPr>
          <w:rFonts w:ascii="Arial" w:cs="Arial" w:eastAsia="Arial" w:hAnsi="Arial"/>
          <w:sz w:val="24"/>
          <w:szCs w:val="24"/>
        </w:rPr>
        <w:t xml:space="preserve">Together, these two sections provide a comprehensive guide for the continued evolution of MDSM beyond this project, ensuring that the system can scale to meet the demands of a growing digital economy in Southern Africa.</w:t>
      </w:r>
    </w:p>
    <w:p>
      <w:pPr>
        <w:spacing w:after="160" w:before="0"/>
      </w:pPr>
    </w:p>
    <w:p>
      <w:pPr>
        <w:pStyle w:val="Heading1"/>
        <w:spacing w:after="120" w:before="480"/>
      </w:pPr>
      <w:r>
        <w:rPr>
          <w:rFonts w:ascii="Arial" w:cs="Arial" w:eastAsia="Arial" w:hAnsi="Arial"/>
          <w:b/>
          <w:bCs/>
          <w:color w:val="1F3864"/>
          <w:sz w:val="36"/>
          <w:szCs w:val="36"/>
        </w:rPr>
        <w:t xml:space="preserve">5.2  Recommendations</w:t>
      </w:r>
    </w:p>
    <w:p>
      <w:pPr>
        <w:pBdr>
          <w:bottom w:val="single" w:color="2E75B6" w:sz="6" w:space="1"/>
        </w:pBdr>
        <w:spacing w:after="0" w:before="0"/>
      </w:pPr>
    </w:p>
    <w:p>
      <w:pPr>
        <w:spacing w:after="80" w:before="0"/>
      </w:pPr>
    </w:p>
    <w:p>
      <w:pPr>
        <w:spacing w:after="120" w:before="80"/>
        <w:jc w:val="both"/>
      </w:pPr>
      <w:r>
        <w:rPr>
          <w:rFonts w:ascii="Arial" w:cs="Arial" w:eastAsia="Arial" w:hAnsi="Arial"/>
          <w:sz w:val="24"/>
          <w:szCs w:val="24"/>
        </w:rPr>
        <w:t xml:space="preserve">The following recommendations arise directly from challenges encountered during implementation and from gaps identified through testing. They are grouped thematically to allow prioritised adoption.</w:t>
      </w:r>
    </w:p>
    <w:p>
      <w:pPr>
        <w:spacing w:after="160" w:before="0"/>
      </w:pPr>
    </w:p>
    <w:p>
      <w:pPr>
        <w:pStyle w:val="Heading2"/>
        <w:spacing w:after="100" w:before="320"/>
      </w:pPr>
      <w:r>
        <w:rPr>
          <w:rFonts w:ascii="Arial" w:cs="Arial" w:eastAsia="Arial" w:hAnsi="Arial"/>
          <w:b/>
          <w:bCs/>
          <w:color w:val="2E75B6"/>
          <w:sz w:val="28"/>
          <w:szCs w:val="28"/>
        </w:rPr>
        <w:t xml:space="preserve">5.2.1  Strengthen Authentication and Session Management</w:t>
      </w:r>
    </w:p>
    <w:p>
      <w:pPr>
        <w:spacing w:after="120" w:before="80"/>
        <w:jc w:val="both"/>
      </w:pPr>
      <w:r>
        <w:rPr>
          <w:rFonts w:ascii="Arial" w:cs="Arial" w:eastAsia="Arial" w:hAnsi="Arial"/>
          <w:sz w:val="24"/>
          <w:szCs w:val="24"/>
        </w:rPr>
        <w:t xml:space="preserve">The current system employs a dual authentication strategy: JWT bearer tokens for API routes and an httpOnly session cookie for server-side middleware. While functional, this arrangement introduces complexity and surface area for session fixation attacks.</w:t>
      </w:r>
    </w:p>
    <w:p>
      <w:pPr>
        <w:spacing w:after="120" w:before="80"/>
        <w:jc w:val="both"/>
      </w:pPr>
      <w:r>
        <w:rPr>
          <w:rFonts w:ascii="Arial" w:cs="Arial" w:eastAsia="Arial" w:hAnsi="Arial"/>
          <w:sz w:val="24"/>
          <w:szCs w:val="24"/>
        </w:rPr>
        <w:t xml:space="preserve">The following improvements are recommended:</w:t>
      </w:r>
    </w:p>
    <w:p>
      <w:pPr>
        <w:pStyle w:val="ListParagraph"/>
        <w:numPr>
          <w:ilvl w:val="0"/>
          <w:numId w:val="2"/>
        </w:numPr>
        <w:spacing w:after="60" w:before="60"/>
      </w:pPr>
      <w:r>
        <w:rPr>
          <w:rFonts w:ascii="Arial" w:cs="Arial" w:eastAsia="Arial" w:hAnsi="Arial"/>
          <w:sz w:val="24"/>
          <w:szCs w:val="24"/>
        </w:rPr>
        <w:t xml:space="preserve">Consolidate to a single, short-lived JWT stored in an httpOnly cookie with a refresh-token rotation strategy. This eliminates the parallel localStorage session that currently persists sensitive role and KYC data in the browser.</w:t>
      </w:r>
    </w:p>
    <w:p>
      <w:pPr>
        <w:pStyle w:val="ListParagraph"/>
        <w:numPr>
          <w:ilvl w:val="0"/>
          <w:numId w:val="2"/>
        </w:numPr>
        <w:spacing w:after="60" w:before="60"/>
      </w:pPr>
      <w:r>
        <w:rPr>
          <w:rFonts w:ascii="Arial" w:cs="Arial" w:eastAsia="Arial" w:hAnsi="Arial"/>
          <w:sz w:val="24"/>
          <w:szCs w:val="24"/>
        </w:rPr>
        <w:t xml:space="preserve">Implement Multi-Factor Authentication (MFA) for all privileged roles (admin, broker, regulator) using TOTP (RFC 6238). Lesotho financial regulations are expected to mandate MFA for market participants.</w:t>
      </w:r>
    </w:p>
    <w:p>
      <w:pPr>
        <w:pStyle w:val="ListParagraph"/>
        <w:numPr>
          <w:ilvl w:val="0"/>
          <w:numId w:val="2"/>
        </w:numPr>
        <w:spacing w:after="60" w:before="60"/>
      </w:pPr>
      <w:r>
        <w:rPr>
          <w:rFonts w:ascii="Arial" w:cs="Arial" w:eastAsia="Arial" w:hAnsi="Arial"/>
          <w:sz w:val="24"/>
          <w:szCs w:val="24"/>
        </w:rPr>
        <w:t xml:space="preserve">Introduce IP-binding and device fingerprinting for session tokens to detect and revoke hijacked sessions automatically.</w:t>
      </w:r>
    </w:p>
    <w:p>
      <w:pPr>
        <w:pStyle w:val="ListParagraph"/>
        <w:numPr>
          <w:ilvl w:val="0"/>
          <w:numId w:val="2"/>
        </w:numPr>
        <w:spacing w:after="60" w:before="60"/>
      </w:pPr>
      <w:r>
        <w:rPr>
          <w:rFonts w:ascii="Arial" w:cs="Arial" w:eastAsia="Arial" w:hAnsi="Arial"/>
          <w:sz w:val="24"/>
          <w:szCs w:val="24"/>
        </w:rPr>
        <w:t xml:space="preserve">Replace bcryptjs (used server-side) with Argon2id, which provides superior resistance to GPU-based brute-force attacks at equivalent computational cost.</w:t>
      </w:r>
    </w:p>
    <w:p>
      <w:pPr>
        <w:spacing w:after="160" w:before="0"/>
      </w:pPr>
    </w:p>
    <w:p>
      <w:pPr>
        <w:pStyle w:val="Heading2"/>
        <w:spacing w:after="100" w:before="320"/>
      </w:pPr>
      <w:r>
        <w:rPr>
          <w:rFonts w:ascii="Arial" w:cs="Arial" w:eastAsia="Arial" w:hAnsi="Arial"/>
          <w:b/>
          <w:bCs/>
          <w:color w:val="2E75B6"/>
          <w:sz w:val="28"/>
          <w:szCs w:val="28"/>
        </w:rPr>
        <w:t xml:space="preserve">5.2.2  Harden the KYC and Compliance Pipeline</w:t>
      </w:r>
    </w:p>
    <w:p>
      <w:pPr>
        <w:spacing w:after="120" w:before="80"/>
        <w:jc w:val="both"/>
      </w:pPr>
      <w:r>
        <w:rPr>
          <w:rFonts w:ascii="Arial" w:cs="Arial" w:eastAsia="Arial" w:hAnsi="Arial"/>
          <w:sz w:val="24"/>
          <w:szCs w:val="24"/>
        </w:rPr>
        <w:t xml:space="preserve">The existing KYC workflow requires regulators to manually review uploaded documents. This is adequate for a low-volume launch but will not scale. Recommended enhancements include:</w:t>
      </w:r>
    </w:p>
    <w:p>
      <w:pPr>
        <w:pStyle w:val="ListParagraph"/>
        <w:numPr>
          <w:ilvl w:val="0"/>
          <w:numId w:val="2"/>
        </w:numPr>
        <w:spacing w:after="60" w:before="60"/>
      </w:pPr>
      <w:r>
        <w:rPr>
          <w:rFonts w:ascii="Arial" w:cs="Arial" w:eastAsia="Arial" w:hAnsi="Arial"/>
          <w:sz w:val="24"/>
          <w:szCs w:val="24"/>
        </w:rPr>
        <w:t xml:space="preserve">Integrate an automated KYC provider such as Smile Identity or Onfido, both of which offer Southern African national ID verification APIs. This would reduce regulator workload and provide cryptographically verifiable identity assertions.</w:t>
      </w:r>
    </w:p>
    <w:p>
      <w:pPr>
        <w:pStyle w:val="ListParagraph"/>
        <w:numPr>
          <w:ilvl w:val="0"/>
          <w:numId w:val="2"/>
        </w:numPr>
        <w:spacing w:after="60" w:before="60"/>
      </w:pPr>
      <w:r>
        <w:rPr>
          <w:rFonts w:ascii="Arial" w:cs="Arial" w:eastAsia="Arial" w:hAnsi="Arial"/>
          <w:sz w:val="24"/>
          <w:szCs w:val="24"/>
        </w:rPr>
        <w:t xml:space="preserve">Introduce tiered KYC levels: Tier 1 for small retail investors (basic ID verification), Tier 2 for institutional investors (full AML screening, beneficial ownership disclosure). The MDSM middleware's role-based routing is well-positioned to enforce tier-dependent trading limits.</w:t>
      </w:r>
    </w:p>
    <w:p>
      <w:pPr>
        <w:pStyle w:val="ListParagraph"/>
        <w:numPr>
          <w:ilvl w:val="0"/>
          <w:numId w:val="2"/>
        </w:numPr>
        <w:spacing w:after="60" w:before="60"/>
      </w:pPr>
      <w:r>
        <w:rPr>
          <w:rFonts w:ascii="Arial" w:cs="Arial" w:eastAsia="Arial" w:hAnsi="Arial"/>
          <w:sz w:val="24"/>
          <w:szCs w:val="24"/>
        </w:rPr>
        <w:t xml:space="preserve">Store KYC audit trails on-chain using the existing SecurityTokenRegistry's recordTrade audit path, ensuring tamper-evident compliance records that can be produced to regulators without relying on Supabase availability.</w:t>
      </w:r>
    </w:p>
    <w:p>
      <w:pPr>
        <w:pStyle w:val="ListParagraph"/>
        <w:numPr>
          <w:ilvl w:val="0"/>
          <w:numId w:val="2"/>
        </w:numPr>
        <w:spacing w:after="60" w:before="60"/>
      </w:pPr>
      <w:r>
        <w:rPr>
          <w:rFonts w:ascii="Arial" w:cs="Arial" w:eastAsia="Arial" w:hAnsi="Arial"/>
          <w:sz w:val="24"/>
          <w:szCs w:val="24"/>
        </w:rPr>
        <w:t xml:space="preserve">Implement KYC expiry logic: documents must be re-submitted every 12 or 24 months, and dashboard access is automatically suspended pending renewal.</w:t>
      </w:r>
    </w:p>
    <w:p>
      <w:pPr>
        <w:spacing w:after="160" w:before="0"/>
      </w:pPr>
    </w:p>
    <w:p>
      <w:pPr>
        <w:pStyle w:val="Heading2"/>
        <w:spacing w:after="100" w:before="320"/>
      </w:pPr>
      <w:r>
        <w:rPr>
          <w:rFonts w:ascii="Arial" w:cs="Arial" w:eastAsia="Arial" w:hAnsi="Arial"/>
          <w:b/>
          <w:bCs/>
          <w:color w:val="2E75B6"/>
          <w:sz w:val="28"/>
          <w:szCs w:val="28"/>
        </w:rPr>
        <w:t xml:space="preserve">5.2.3  Improve Blockchain Reliability and Token Lifecycle</w:t>
      </w:r>
    </w:p>
    <w:p>
      <w:pPr>
        <w:spacing w:after="120" w:before="80"/>
        <w:jc w:val="both"/>
      </w:pPr>
      <w:r>
        <w:rPr>
          <w:rFonts w:ascii="Arial" w:cs="Arial" w:eastAsia="Arial" w:hAnsi="Arial"/>
          <w:sz w:val="24"/>
          <w:szCs w:val="24"/>
        </w:rPr>
        <w:t xml:space="preserve">The on-chain trade recording layer performed well in testing, including the seller-resolution logic that automatically falls back from broker wallet to issuer wallet when the seller holds insufficient token balance. However, several production-readiness gaps remain.</w:t>
      </w:r>
    </w:p>
    <w:p>
      <w:pPr>
        <w:pStyle w:val="ListParagraph"/>
        <w:numPr>
          <w:ilvl w:val="0"/>
          <w:numId w:val="2"/>
        </w:numPr>
        <w:spacing w:after="60" w:before="60"/>
      </w:pPr>
      <w:r>
        <w:rPr>
          <w:rFonts w:ascii="Arial" w:cs="Arial" w:eastAsia="Arial" w:hAnsi="Arial"/>
          <w:sz w:val="24"/>
          <w:szCs w:val="24"/>
        </w:rPr>
        <w:t xml:space="preserve">Replace fire-and-forget recordTradeOnChain calls with a persistent job queue (e.g., BullMQ backed by Redis). Failed or timed-out transactions should be retried with exponential back-off rather than being silently marked as submitted.</w:t>
      </w:r>
    </w:p>
    <w:p>
      <w:pPr>
        <w:pStyle w:val="ListParagraph"/>
        <w:numPr>
          <w:ilvl w:val="0"/>
          <w:numId w:val="2"/>
        </w:numPr>
        <w:spacing w:after="60" w:before="60"/>
      </w:pPr>
      <w:r>
        <w:rPr>
          <w:rFonts w:ascii="Arial" w:cs="Arial" w:eastAsia="Arial" w:hAnsi="Arial"/>
          <w:sz w:val="24"/>
          <w:szCs w:val="24"/>
        </w:rPr>
        <w:t xml:space="preserve">Introduce a reconciliation worker that periodically scans onchain_trade_records rows with status = 'submitted' and attempts to retrieve their receipts. This closes the gap between a submitted transaction hash and a confirmed block number.</w:t>
      </w:r>
    </w:p>
    <w:p>
      <w:pPr>
        <w:pStyle w:val="ListParagraph"/>
        <w:numPr>
          <w:ilvl w:val="0"/>
          <w:numId w:val="2"/>
        </w:numPr>
        <w:spacing w:after="60" w:before="60"/>
      </w:pPr>
      <w:r>
        <w:rPr>
          <w:rFonts w:ascii="Arial" w:cs="Arial" w:eastAsia="Arial" w:hAnsi="Arial"/>
          <w:sz w:val="24"/>
          <w:szCs w:val="24"/>
        </w:rPr>
        <w:t xml:space="preserve">Implement a token transfer flow for secondary market trades: when an investor who previously purchased tokens places a sell order, the system must verify their on-chain balance before accepting the order, and initiate a proper executeTrade transfer rather than falling back to record-only.</w:t>
      </w:r>
    </w:p>
    <w:p>
      <w:pPr>
        <w:pStyle w:val="ListParagraph"/>
        <w:numPr>
          <w:ilvl w:val="0"/>
          <w:numId w:val="2"/>
        </w:numPr>
        <w:spacing w:after="60" w:before="60"/>
      </w:pPr>
      <w:r>
        <w:rPr>
          <w:rFonts w:ascii="Arial" w:cs="Arial" w:eastAsia="Arial" w:hAnsi="Arial"/>
          <w:sz w:val="24"/>
          <w:szCs w:val="24"/>
        </w:rPr>
        <w:t xml:space="preserve">Upgrade from a 4-node QBFT validator set to at least a 7-node Byzantine fault-tolerant configuration. QBFT tolerates (n-1)/3 failures; with 4 nodes, a single validator going offline reduces fault tolerance to zero.</w:t>
      </w:r>
    </w:p>
    <w:p>
      <w:pPr>
        <w:pStyle w:val="ListParagraph"/>
        <w:numPr>
          <w:ilvl w:val="0"/>
          <w:numId w:val="2"/>
        </w:numPr>
        <w:spacing w:after="60" w:before="60"/>
      </w:pPr>
      <w:r>
        <w:rPr>
          <w:rFonts w:ascii="Arial" w:cs="Arial" w:eastAsia="Arial" w:hAnsi="Arial"/>
          <w:sz w:val="24"/>
          <w:szCs w:val="24"/>
        </w:rPr>
        <w:t xml:space="preserve">Set blockperiodseconds to 5 in the genesis configuration for production deployment. The current 20-second block period introduces unacceptable trade confirmation latency for a live market.</w:t>
      </w:r>
    </w:p>
    <w:p>
      <w:pPr>
        <w:spacing w:after="160" w:before="0"/>
      </w:pPr>
    </w:p>
    <w:p>
      <w:pPr>
        <w:pStyle w:val="Heading2"/>
        <w:spacing w:after="100" w:before="320"/>
      </w:pPr>
      <w:r>
        <w:rPr>
          <w:rFonts w:ascii="Arial" w:cs="Arial" w:eastAsia="Arial" w:hAnsi="Arial"/>
          <w:b/>
          <w:bCs/>
          <w:color w:val="2E75B6"/>
          <w:sz w:val="28"/>
          <w:szCs w:val="28"/>
        </w:rPr>
        <w:t xml:space="preserve">5.2.4  Database and Infrastructure Optimisation</w:t>
      </w:r>
    </w:p>
    <w:p>
      <w:pPr>
        <w:spacing w:after="120" w:before="80"/>
        <w:jc w:val="both"/>
      </w:pPr>
      <w:r>
        <w:rPr>
          <w:rFonts w:ascii="Arial" w:cs="Arial" w:eastAsia="Arial" w:hAnsi="Arial"/>
          <w:sz w:val="24"/>
          <w:szCs w:val="24"/>
        </w:rPr>
        <w:t xml:space="preserve">The current deployment uses Supabase's free-tier transaction-mode pooler, which introduces cold-start latency and connection constraints. For production use:</w:t>
      </w:r>
    </w:p>
    <w:p>
      <w:pPr>
        <w:pStyle w:val="ListParagraph"/>
        <w:numPr>
          <w:ilvl w:val="0"/>
          <w:numId w:val="2"/>
        </w:numPr>
        <w:spacing w:after="60" w:before="60"/>
      </w:pPr>
      <w:r>
        <w:rPr>
          <w:rFonts w:ascii="Arial" w:cs="Arial" w:eastAsia="Arial" w:hAnsi="Arial"/>
          <w:sz w:val="24"/>
          <w:szCs w:val="24"/>
        </w:rPr>
        <w:t xml:space="preserve">Migrate to Supabase Pro or a dedicated PostgreSQL instance on AWS RDS (eu-south-1 or af-south-1) to eliminate project pausing, increase connection limits, and reduce query latency from ~15 ms to ~3 ms.</w:t>
      </w:r>
    </w:p>
    <w:p>
      <w:pPr>
        <w:pStyle w:val="ListParagraph"/>
        <w:numPr>
          <w:ilvl w:val="0"/>
          <w:numId w:val="2"/>
        </w:numPr>
        <w:spacing w:after="60" w:before="60"/>
      </w:pPr>
      <w:r>
        <w:rPr>
          <w:rFonts w:ascii="Arial" w:cs="Arial" w:eastAsia="Arial" w:hAnsi="Arial"/>
          <w:sz w:val="24"/>
          <w:szCs w:val="24"/>
        </w:rPr>
        <w:t xml:space="preserve">Implement database read replicas for dashboard analytics queries (market statistics, portfolio aggregations, regulator reports). These are heavy sequential scans that should not compete with transactional write traffic.</w:t>
      </w:r>
    </w:p>
    <w:p>
      <w:pPr>
        <w:pStyle w:val="ListParagraph"/>
        <w:numPr>
          <w:ilvl w:val="0"/>
          <w:numId w:val="2"/>
        </w:numPr>
        <w:spacing w:after="60" w:before="60"/>
      </w:pPr>
      <w:r>
        <w:rPr>
          <w:rFonts w:ascii="Arial" w:cs="Arial" w:eastAsia="Arial" w:hAnsi="Arial"/>
          <w:sz w:val="24"/>
          <w:szCs w:val="24"/>
        </w:rPr>
        <w:t xml:space="preserve">Add a Redis cache layer (Upstash or self-hosted) as a replacement for the current Next.js unstable_cache wrappers. Redis TTL-based invalidation is more predictable than ISR revalidation, particularly for the securities list and trade history feeds.</w:t>
      </w:r>
    </w:p>
    <w:p>
      <w:pPr>
        <w:pStyle w:val="ListParagraph"/>
        <w:numPr>
          <w:ilvl w:val="0"/>
          <w:numId w:val="2"/>
        </w:numPr>
        <w:spacing w:after="60" w:before="60"/>
      </w:pPr>
      <w:r>
        <w:rPr>
          <w:rFonts w:ascii="Arial" w:cs="Arial" w:eastAsia="Arial" w:hAnsi="Arial"/>
          <w:sz w:val="24"/>
          <w:szCs w:val="24"/>
        </w:rPr>
        <w:t xml:space="preserve">Enable row-level security (RLS) on the Supabase PostgreSQL tables as a defence-in-depth measure. Even with server-side authentication, RLS ensures that a compromised API route cannot exfiltrate cross-user data.</w:t>
      </w:r>
    </w:p>
    <w:p>
      <w:pPr>
        <w:spacing w:after="160" w:before="0"/>
      </w:pPr>
    </w:p>
    <w:p>
      <w:pPr>
        <w:pStyle w:val="Heading2"/>
        <w:spacing w:after="100" w:before="320"/>
      </w:pPr>
      <w:r>
        <w:rPr>
          <w:rFonts w:ascii="Arial" w:cs="Arial" w:eastAsia="Arial" w:hAnsi="Arial"/>
          <w:b/>
          <w:bCs/>
          <w:color w:val="2E75B6"/>
          <w:sz w:val="28"/>
          <w:szCs w:val="28"/>
        </w:rPr>
        <w:t xml:space="preserve">5.2.5  Regulatory and Compliance Architecture</w:t>
      </w:r>
    </w:p>
    <w:p>
      <w:pPr>
        <w:spacing w:after="120" w:before="80"/>
        <w:jc w:val="both"/>
      </w:pPr>
      <w:r>
        <w:rPr>
          <w:rFonts w:ascii="Arial" w:cs="Arial" w:eastAsia="Arial" w:hAnsi="Arial"/>
          <w:sz w:val="24"/>
          <w:szCs w:val="24"/>
        </w:rPr>
        <w:t xml:space="preserve">MDSM operates in a regulated financial sector. The following architectural changes are recommended to align with the Lesotho Financial Institutions Act and anticipated Capital Markets regulations:</w:t>
      </w:r>
    </w:p>
    <w:p>
      <w:pPr>
        <w:pStyle w:val="ListParagraph"/>
        <w:numPr>
          <w:ilvl w:val="0"/>
          <w:numId w:val="2"/>
        </w:numPr>
        <w:spacing w:after="60" w:before="60"/>
      </w:pPr>
      <w:r>
        <w:rPr>
          <w:rFonts w:ascii="Arial" w:cs="Arial" w:eastAsia="Arial" w:hAnsi="Arial"/>
          <w:sz w:val="24"/>
          <w:szCs w:val="24"/>
        </w:rPr>
        <w:t xml:space="preserve">Implement a complete audit log table with immutable append-only semantics (using PostgreSQL triggers that prevent UPDATE and DELETE). Every state-changing API call should write a signed audit entry.</w:t>
      </w:r>
    </w:p>
    <w:p>
      <w:pPr>
        <w:pStyle w:val="ListParagraph"/>
        <w:numPr>
          <w:ilvl w:val="0"/>
          <w:numId w:val="2"/>
        </w:numPr>
        <w:spacing w:after="60" w:before="60"/>
      </w:pPr>
      <w:r>
        <w:rPr>
          <w:rFonts w:ascii="Arial" w:cs="Arial" w:eastAsia="Arial" w:hAnsi="Arial"/>
          <w:sz w:val="24"/>
          <w:szCs w:val="24"/>
        </w:rPr>
        <w:t xml:space="preserve">Introduce trade reporting feeds conforming to the FIX Protocol 4.4 standard. Most regulatory reporting platforms in Southern Africa consume FIX-format execution reports.</w:t>
      </w:r>
    </w:p>
    <w:p>
      <w:pPr>
        <w:pStyle w:val="ListParagraph"/>
        <w:numPr>
          <w:ilvl w:val="0"/>
          <w:numId w:val="2"/>
        </w:numPr>
        <w:spacing w:after="60" w:before="60"/>
      </w:pPr>
      <w:r>
        <w:rPr>
          <w:rFonts w:ascii="Arial" w:cs="Arial" w:eastAsia="Arial" w:hAnsi="Arial"/>
          <w:sz w:val="24"/>
          <w:szCs w:val="24"/>
        </w:rPr>
        <w:t xml:space="preserve">Separate the smart contract upgrade path from the application deployment cycle. Deploy the SecurityTokenRegistry behind a transparent proxy (OpenZeppelin TransparentUpgradeableProxy) so that contract logic can be upgraded without migrating historical trade data.</w:t>
      </w:r>
    </w:p>
    <w:p>
      <w:pPr>
        <w:pStyle w:val="ListParagraph"/>
        <w:numPr>
          <w:ilvl w:val="0"/>
          <w:numId w:val="2"/>
        </w:numPr>
        <w:spacing w:after="60" w:before="60"/>
      </w:pPr>
      <w:r>
        <w:rPr>
          <w:rFonts w:ascii="Arial" w:cs="Arial" w:eastAsia="Arial" w:hAnsi="Arial"/>
          <w:sz w:val="24"/>
          <w:szCs w:val="24"/>
        </w:rPr>
        <w:t xml:space="preserve">Engage the Lesotho Central Bank early in a regulatory sandbox programme. The sandbox allows MDSM to operate under temporary exemptions while demonstrating compliance, which is significantly faster than awaiting a full market licence.</w:t>
      </w:r>
    </w:p>
    <w:p>
      <w:pPr>
        <w:spacing w:after="160" w:before="0"/>
      </w:pPr>
    </w:p>
    <w:p>
      <w:pPr>
        <w:pStyle w:val="Heading1"/>
        <w:spacing w:after="120" w:before="480"/>
      </w:pPr>
      <w:r>
        <w:rPr>
          <w:rFonts w:ascii="Arial" w:cs="Arial" w:eastAsia="Arial" w:hAnsi="Arial"/>
          <w:b/>
          <w:bCs/>
          <w:color w:val="1F3864"/>
          <w:sz w:val="36"/>
          <w:szCs w:val="36"/>
        </w:rPr>
        <w:t xml:space="preserve">5.3  Future Work</w:t>
      </w:r>
    </w:p>
    <w:p>
      <w:pPr>
        <w:pBdr>
          <w:bottom w:val="single" w:color="2E75B6" w:sz="6" w:space="1"/>
        </w:pBdr>
        <w:spacing w:after="0" w:before="0"/>
      </w:pPr>
    </w:p>
    <w:p>
      <w:pPr>
        <w:spacing w:after="80" w:before="0"/>
      </w:pPr>
    </w:p>
    <w:p>
      <w:pPr>
        <w:spacing w:after="120" w:before="80"/>
        <w:jc w:val="both"/>
      </w:pPr>
      <w:r>
        <w:rPr>
          <w:rFonts w:ascii="Arial" w:cs="Arial" w:eastAsia="Arial" w:hAnsi="Arial"/>
          <w:sz w:val="24"/>
          <w:szCs w:val="24"/>
        </w:rPr>
        <w:t xml:space="preserve">Beyond addressing current limitations, the following enhancements represent the natural evolution of MDSM into a comprehensive capital markets platform for Lesotho and potentially the broader SADC region. They are presented in approximate order of implementation priority.</w:t>
      </w:r>
    </w:p>
    <w:p>
      <w:pPr>
        <w:spacing w:after="160" w:before="0"/>
      </w:pPr>
    </w:p>
    <w:p>
      <w:pPr>
        <w:pStyle w:val="Heading2"/>
        <w:spacing w:after="100" w:before="320"/>
      </w:pPr>
      <w:r>
        <w:rPr>
          <w:rFonts w:ascii="Arial" w:cs="Arial" w:eastAsia="Arial" w:hAnsi="Arial"/>
          <w:b/>
          <w:bCs/>
          <w:color w:val="2E75B6"/>
          <w:sz w:val="28"/>
          <w:szCs w:val="28"/>
        </w:rPr>
        <w:t xml:space="preserve">5.3.1  Secondary Market and Real-Time Price Discovery</w:t>
      </w:r>
    </w:p>
    <w:p>
      <w:pPr>
        <w:spacing w:after="120" w:before="80"/>
        <w:jc w:val="both"/>
      </w:pPr>
      <w:r>
        <w:rPr>
          <w:rFonts w:ascii="Arial" w:cs="Arial" w:eastAsia="Arial" w:hAnsi="Arial"/>
          <w:sz w:val="24"/>
          <w:szCs w:val="24"/>
        </w:rPr>
        <w:t xml:space="preserve">The current MDSM implementation supports primary market issuance and broker-executed market orders with a limit order book. A full secondary market — where investors trade existing securities among themselves — requires the following extensions:</w:t>
      </w:r>
    </w:p>
    <w:p>
      <w:pPr>
        <w:pStyle w:val="ListParagraph"/>
        <w:numPr>
          <w:ilvl w:val="0"/>
          <w:numId w:val="2"/>
        </w:numPr>
        <w:spacing w:after="60" w:before="60"/>
      </w:pPr>
      <w:r>
        <w:rPr>
          <w:rFonts w:ascii="Arial" w:cs="Arial" w:eastAsia="Arial" w:hAnsi="Arial"/>
          <w:sz w:val="24"/>
          <w:szCs w:val="24"/>
        </w:rPr>
        <w:t xml:space="preserve">Continuous order-book matching engine: replace the current interval-based order matcher in lib/store.js with a Lmax Disruptor-pattern ring buffer or a streaming WebSocket-based matcher that processes limit order fills in real time.</w:t>
      </w:r>
    </w:p>
    <w:p>
      <w:pPr>
        <w:pStyle w:val="ListParagraph"/>
        <w:numPr>
          <w:ilvl w:val="0"/>
          <w:numId w:val="2"/>
        </w:numPr>
        <w:spacing w:after="60" w:before="60"/>
      </w:pPr>
      <w:r>
        <w:rPr>
          <w:rFonts w:ascii="Arial" w:cs="Arial" w:eastAsia="Arial" w:hAnsi="Arial"/>
          <w:sz w:val="24"/>
          <w:szCs w:val="24"/>
        </w:rPr>
        <w:t xml:space="preserve">Market depth display: expose the best N bid and ask levels to the investor dashboard, enabling informed trading decisions and reducing information asymmetry.</w:t>
      </w:r>
    </w:p>
    <w:p>
      <w:pPr>
        <w:pStyle w:val="ListParagraph"/>
        <w:numPr>
          <w:ilvl w:val="0"/>
          <w:numId w:val="2"/>
        </w:numPr>
        <w:spacing w:after="60" w:before="60"/>
      </w:pPr>
      <w:r>
        <w:rPr>
          <w:rFonts w:ascii="Arial" w:cs="Arial" w:eastAsia="Arial" w:hAnsi="Arial"/>
          <w:sz w:val="24"/>
          <w:szCs w:val="24"/>
        </w:rPr>
        <w:t xml:space="preserve">Trade tape: a real-time stream of executed trades (price, size, direction) displayed on the market data page and stored in a time-series table for technical analysis.</w:t>
      </w:r>
    </w:p>
    <w:p>
      <w:pPr>
        <w:pStyle w:val="ListParagraph"/>
        <w:numPr>
          <w:ilvl w:val="0"/>
          <w:numId w:val="2"/>
        </w:numPr>
        <w:spacing w:after="60" w:before="60"/>
      </w:pPr>
      <w:r>
        <w:rPr>
          <w:rFonts w:ascii="Arial" w:cs="Arial" w:eastAsia="Arial" w:hAnsi="Arial"/>
          <w:sz w:val="24"/>
          <w:szCs w:val="24"/>
        </w:rPr>
        <w:t xml:space="preserve">Price indices: compute and publish a MDSM Composite Index (similar to a market-cap-weighted index) so that market performance can be tracked and reported to the public.</w:t>
      </w:r>
    </w:p>
    <w:p>
      <w:pPr>
        <w:spacing w:after="160" w:before="0"/>
      </w:pPr>
    </w:p>
    <w:p>
      <w:pPr>
        <w:pStyle w:val="Heading2"/>
        <w:spacing w:after="100" w:before="320"/>
      </w:pPr>
      <w:r>
        <w:rPr>
          <w:rFonts w:ascii="Arial" w:cs="Arial" w:eastAsia="Arial" w:hAnsi="Arial"/>
          <w:b/>
          <w:bCs/>
          <w:color w:val="2E75B6"/>
          <w:sz w:val="28"/>
          <w:szCs w:val="28"/>
        </w:rPr>
        <w:t xml:space="preserve">5.3.2  Mobile Application</w:t>
      </w:r>
    </w:p>
    <w:p>
      <w:pPr>
        <w:spacing w:after="120" w:before="80"/>
        <w:jc w:val="both"/>
      </w:pPr>
      <w:r>
        <w:rPr>
          <w:rFonts w:ascii="Arial" w:cs="Arial" w:eastAsia="Arial" w:hAnsi="Arial"/>
          <w:sz w:val="24"/>
          <w:szCs w:val="24"/>
        </w:rPr>
        <w:t xml:space="preserve">The current platform is a responsive web application. However, smartphone penetration in Lesotho is growing rapidly and a dedicated mobile application would significantly increase market participation.</w:t>
      </w:r>
    </w:p>
    <w:p>
      <w:pPr>
        <w:pStyle w:val="ListParagraph"/>
        <w:numPr>
          <w:ilvl w:val="0"/>
          <w:numId w:val="2"/>
        </w:numPr>
        <w:spacing w:after="60" w:before="60"/>
      </w:pPr>
      <w:r>
        <w:rPr>
          <w:rFonts w:ascii="Arial" w:cs="Arial" w:eastAsia="Arial" w:hAnsi="Arial"/>
          <w:sz w:val="24"/>
          <w:szCs w:val="24"/>
        </w:rPr>
        <w:t xml:space="preserve">Develop a React Native application sharing business logic and API calls with the existing Next.js codebase. The current REST API surface is already sufficient to support a mobile client.</w:t>
      </w:r>
    </w:p>
    <w:p>
      <w:pPr>
        <w:pStyle w:val="ListParagraph"/>
        <w:numPr>
          <w:ilvl w:val="0"/>
          <w:numId w:val="2"/>
        </w:numPr>
        <w:spacing w:after="60" w:before="60"/>
      </w:pPr>
      <w:r>
        <w:rPr>
          <w:rFonts w:ascii="Arial" w:cs="Arial" w:eastAsia="Arial" w:hAnsi="Arial"/>
          <w:sz w:val="24"/>
          <w:szCs w:val="24"/>
        </w:rPr>
        <w:t xml:space="preserve">Implement biometric authentication (fingerprint / Face ID) for mobile sessions, leveraging the device's Trusted Execution Environment (TEE) for key storage.</w:t>
      </w:r>
    </w:p>
    <w:p>
      <w:pPr>
        <w:pStyle w:val="ListParagraph"/>
        <w:numPr>
          <w:ilvl w:val="0"/>
          <w:numId w:val="2"/>
        </w:numPr>
        <w:spacing w:after="60" w:before="60"/>
      </w:pPr>
      <w:r>
        <w:rPr>
          <w:rFonts w:ascii="Arial" w:cs="Arial" w:eastAsia="Arial" w:hAnsi="Arial"/>
          <w:sz w:val="24"/>
          <w:szCs w:val="24"/>
        </w:rPr>
        <w:t xml:space="preserve">Push notifications for order fills, KYC status changes, and dividend announcements via Firebase Cloud Messaging (FCM).</w:t>
      </w:r>
    </w:p>
    <w:p>
      <w:pPr>
        <w:pStyle w:val="ListParagraph"/>
        <w:numPr>
          <w:ilvl w:val="0"/>
          <w:numId w:val="2"/>
        </w:numPr>
        <w:spacing w:after="60" w:before="60"/>
      </w:pPr>
      <w:r>
        <w:rPr>
          <w:rFonts w:ascii="Arial" w:cs="Arial" w:eastAsia="Arial" w:hAnsi="Arial"/>
          <w:sz w:val="24"/>
          <w:szCs w:val="24"/>
        </w:rPr>
        <w:t xml:space="preserve">Offline-first capability: cache portfolio holdings and market prices locally using SQLite (via WatermelonDB) so the application remains usable under poor network conditions.</w:t>
      </w:r>
    </w:p>
    <w:p>
      <w:pPr>
        <w:spacing w:after="160" w:before="0"/>
      </w:pPr>
    </w:p>
    <w:p>
      <w:pPr>
        <w:pStyle w:val="Heading2"/>
        <w:spacing w:after="100" w:before="320"/>
      </w:pPr>
      <w:r>
        <w:rPr>
          <w:rFonts w:ascii="Arial" w:cs="Arial" w:eastAsia="Arial" w:hAnsi="Arial"/>
          <w:b/>
          <w:bCs/>
          <w:color w:val="2E75B6"/>
          <w:sz w:val="28"/>
          <w:szCs w:val="28"/>
        </w:rPr>
        <w:t xml:space="preserve">5.3.3  Advanced Financial Instruments</w:t>
      </w:r>
    </w:p>
    <w:p>
      <w:pPr>
        <w:spacing w:after="120" w:before="80"/>
        <w:jc w:val="both"/>
      </w:pPr>
      <w:r>
        <w:rPr>
          <w:rFonts w:ascii="Arial" w:cs="Arial" w:eastAsia="Arial" w:hAnsi="Arial"/>
          <w:sz w:val="24"/>
          <w:szCs w:val="24"/>
        </w:rPr>
        <w:t xml:space="preserve">MDSM currently supports equity and bond tokenisation. Extending the platform to support additional instrument classes would increase market depth and attract institutional participation.</w:t>
      </w:r>
    </w:p>
    <w:p>
      <w:pPr>
        <w:pStyle w:val="ListParagraph"/>
        <w:numPr>
          <w:ilvl w:val="0"/>
          <w:numId w:val="2"/>
        </w:numPr>
        <w:spacing w:after="60" w:before="60"/>
      </w:pPr>
      <w:r>
        <w:rPr>
          <w:rFonts w:ascii="Arial" w:cs="Arial" w:eastAsia="Arial" w:hAnsi="Arial"/>
          <w:sz w:val="24"/>
          <w:szCs w:val="24"/>
        </w:rPr>
        <w:t xml:space="preserve">Exchange-Traded Funds (ETFs): baskets of securities rebalanced periodically, represented as composite tokens whose value is derived from the weighted average of constituent securities.</w:t>
      </w:r>
    </w:p>
    <w:p>
      <w:pPr>
        <w:pStyle w:val="ListParagraph"/>
        <w:numPr>
          <w:ilvl w:val="0"/>
          <w:numId w:val="2"/>
        </w:numPr>
        <w:spacing w:after="60" w:before="60"/>
      </w:pPr>
      <w:r>
        <w:rPr>
          <w:rFonts w:ascii="Arial" w:cs="Arial" w:eastAsia="Arial" w:hAnsi="Arial"/>
          <w:sz w:val="24"/>
          <w:szCs w:val="24"/>
        </w:rPr>
        <w:t xml:space="preserve">Government Securities: Lesotho Treasury Bills and Development Bonds are natural early candidates for on-chain tokenisation given the single issuer (Ministry of Finance) and well-defined cash flow schedules.</w:t>
      </w:r>
    </w:p>
    <w:p>
      <w:pPr>
        <w:pStyle w:val="ListParagraph"/>
        <w:numPr>
          <w:ilvl w:val="0"/>
          <w:numId w:val="2"/>
        </w:numPr>
        <w:spacing w:after="60" w:before="60"/>
      </w:pPr>
      <w:r>
        <w:rPr>
          <w:rFonts w:ascii="Arial" w:cs="Arial" w:eastAsia="Arial" w:hAnsi="Arial"/>
          <w:sz w:val="24"/>
          <w:szCs w:val="24"/>
        </w:rPr>
        <w:t xml:space="preserve">Fractional Ownership: lower the minimum investment denomination to as little as 1 Loti by allowing token quantities to be expressed as fixed-point decimals (ERC-20 style) rather than integers.</w:t>
      </w:r>
    </w:p>
    <w:p>
      <w:pPr>
        <w:pStyle w:val="ListParagraph"/>
        <w:numPr>
          <w:ilvl w:val="0"/>
          <w:numId w:val="2"/>
        </w:numPr>
        <w:spacing w:after="60" w:before="60"/>
      </w:pPr>
      <w:r>
        <w:rPr>
          <w:rFonts w:ascii="Arial" w:cs="Arial" w:eastAsia="Arial" w:hAnsi="Arial"/>
          <w:sz w:val="24"/>
          <w:szCs w:val="24"/>
        </w:rPr>
        <w:t xml:space="preserve">Derivatives: introduce simple vanilla options (call/put) on listed equities as a risk management tool for institutional investors. This requires extending the SecurityTokenRegistry with an OptionsRegistry contract.</w:t>
      </w:r>
    </w:p>
    <w:p>
      <w:pPr>
        <w:spacing w:after="160" w:before="0"/>
      </w:pPr>
    </w:p>
    <w:p>
      <w:pPr>
        <w:pStyle w:val="Heading2"/>
        <w:spacing w:after="100" w:before="320"/>
      </w:pPr>
      <w:r>
        <w:rPr>
          <w:rFonts w:ascii="Arial" w:cs="Arial" w:eastAsia="Arial" w:hAnsi="Arial"/>
          <w:b/>
          <w:bCs/>
          <w:color w:val="2E75B6"/>
          <w:sz w:val="28"/>
          <w:szCs w:val="28"/>
        </w:rPr>
        <w:t xml:space="preserve">5.3.4  Cross-Chain Interoperability</w:t>
      </w:r>
    </w:p>
    <w:p>
      <w:pPr>
        <w:spacing w:after="120" w:before="80"/>
        <w:jc w:val="both"/>
      </w:pPr>
      <w:r>
        <w:rPr>
          <w:rFonts w:ascii="Arial" w:cs="Arial" w:eastAsia="Arial" w:hAnsi="Arial"/>
          <w:sz w:val="24"/>
          <w:szCs w:val="24"/>
        </w:rPr>
        <w:t xml:space="preserve">The current Hyperledger Besu QBFT network is a permissioned private chain. Future work should explore controlled bridges to public chains to increase liquidity and attract foreign investment.</w:t>
      </w:r>
    </w:p>
    <w:p>
      <w:pPr>
        <w:pStyle w:val="ListParagraph"/>
        <w:numPr>
          <w:ilvl w:val="0"/>
          <w:numId w:val="2"/>
        </w:numPr>
        <w:spacing w:after="60" w:before="60"/>
      </w:pPr>
      <w:r>
        <w:rPr>
          <w:rFonts w:ascii="Arial" w:cs="Arial" w:eastAsia="Arial" w:hAnsi="Arial"/>
          <w:sz w:val="24"/>
          <w:szCs w:val="24"/>
        </w:rPr>
        <w:t xml:space="preserve">Implement a Polkadot parachain bridge or a Cosmos IBC channel that allows MDSM-tokenised securities to be traded on decentralised exchanges (DEXs) while maintaining the primary record of title on the MDSM QBFT chain.</w:t>
      </w:r>
    </w:p>
    <w:p>
      <w:pPr>
        <w:pStyle w:val="ListParagraph"/>
        <w:numPr>
          <w:ilvl w:val="0"/>
          <w:numId w:val="2"/>
        </w:numPr>
        <w:spacing w:after="60" w:before="60"/>
      </w:pPr>
      <w:r>
        <w:rPr>
          <w:rFonts w:ascii="Arial" w:cs="Arial" w:eastAsia="Arial" w:hAnsi="Arial"/>
          <w:sz w:val="24"/>
          <w:szCs w:val="24"/>
        </w:rPr>
        <w:t xml:space="preserve">Explore the South African Reserve Bank (SARB) Project Dunbar framework for multi-CBDC settlement, which would allow MDSM trades to settle in digital Rand or digital Loti without requiring a conventional correspondent banking relationship.</w:t>
      </w:r>
    </w:p>
    <w:p>
      <w:pPr>
        <w:pStyle w:val="ListParagraph"/>
        <w:numPr>
          <w:ilvl w:val="0"/>
          <w:numId w:val="2"/>
        </w:numPr>
        <w:spacing w:after="60" w:before="60"/>
      </w:pPr>
      <w:r>
        <w:rPr>
          <w:rFonts w:ascii="Arial" w:cs="Arial" w:eastAsia="Arial" w:hAnsi="Arial"/>
          <w:sz w:val="24"/>
          <w:szCs w:val="24"/>
        </w:rPr>
        <w:t xml:space="preserve">Implement hash time-locked contracts (HTLCs) for atomic cross-chain settlement, eliminating counterparty risk in SADC cross-border securities transactions.</w:t>
      </w:r>
    </w:p>
    <w:p>
      <w:pPr>
        <w:spacing w:after="160" w:before="0"/>
      </w:pPr>
    </w:p>
    <w:p>
      <w:pPr>
        <w:pStyle w:val="Heading2"/>
        <w:spacing w:after="100" w:before="320"/>
      </w:pPr>
      <w:r>
        <w:rPr>
          <w:rFonts w:ascii="Arial" w:cs="Arial" w:eastAsia="Arial" w:hAnsi="Arial"/>
          <w:b/>
          <w:bCs/>
          <w:color w:val="2E75B6"/>
          <w:sz w:val="28"/>
          <w:szCs w:val="28"/>
        </w:rPr>
        <w:t xml:space="preserve">5.3.5  Artificial Intelligence and Predictive Analytics</w:t>
      </w:r>
    </w:p>
    <w:p>
      <w:pPr>
        <w:spacing w:after="120" w:before="80"/>
        <w:jc w:val="both"/>
      </w:pPr>
      <w:r>
        <w:rPr>
          <w:rFonts w:ascii="Arial" w:cs="Arial" w:eastAsia="Arial" w:hAnsi="Arial"/>
          <w:sz w:val="24"/>
          <w:szCs w:val="24"/>
        </w:rPr>
        <w:t xml:space="preserve">Data generated by MDSM — trade executions, order book snapshots, KYC outcomes, issuer filings — can support a range of AI-powered capabilities:</w:t>
      </w:r>
    </w:p>
    <w:p>
      <w:pPr>
        <w:pStyle w:val="ListParagraph"/>
        <w:numPr>
          <w:ilvl w:val="0"/>
          <w:numId w:val="2"/>
        </w:numPr>
        <w:spacing w:after="60" w:before="60"/>
      </w:pPr>
      <w:r>
        <w:rPr>
          <w:rFonts w:ascii="Arial" w:cs="Arial" w:eastAsia="Arial" w:hAnsi="Arial"/>
          <w:sz w:val="24"/>
          <w:szCs w:val="24"/>
        </w:rPr>
        <w:t xml:space="preserve">Market surveillance: train a time-series anomaly detection model (e.g., Isolation Forest or LSTM autoencoder) on trade flow data to flag potential market manipulation or insider trading patterns automatically.</w:t>
      </w:r>
    </w:p>
    <w:p>
      <w:pPr>
        <w:pStyle w:val="ListParagraph"/>
        <w:numPr>
          <w:ilvl w:val="0"/>
          <w:numId w:val="2"/>
        </w:numPr>
        <w:spacing w:after="60" w:before="60"/>
      </w:pPr>
      <w:r>
        <w:rPr>
          <w:rFonts w:ascii="Arial" w:cs="Arial" w:eastAsia="Arial" w:hAnsi="Arial"/>
          <w:sz w:val="24"/>
          <w:szCs w:val="24"/>
        </w:rPr>
        <w:t xml:space="preserve">Credit risk scoring: build an issuer creditworthiness model using publicly available financial ratios and on-chain payment history. This would assist the regulator dashboard in identifying issuers at risk of default before a formal default event.</w:t>
      </w:r>
    </w:p>
    <w:p>
      <w:pPr>
        <w:pStyle w:val="ListParagraph"/>
        <w:numPr>
          <w:ilvl w:val="0"/>
          <w:numId w:val="2"/>
        </w:numPr>
        <w:spacing w:after="60" w:before="60"/>
      </w:pPr>
      <w:r>
        <w:rPr>
          <w:rFonts w:ascii="Arial" w:cs="Arial" w:eastAsia="Arial" w:hAnsi="Arial"/>
          <w:sz w:val="24"/>
          <w:szCs w:val="24"/>
        </w:rPr>
        <w:t xml:space="preserve">Personalised portfolio recommendations: apply collaborative filtering (similar to Netflix-style recommendation) to suggest securities to investors based on their trade history and comparable investor profiles, subject to suitability regulations.</w:t>
      </w:r>
    </w:p>
    <w:p>
      <w:pPr>
        <w:pStyle w:val="ListParagraph"/>
        <w:numPr>
          <w:ilvl w:val="0"/>
          <w:numId w:val="2"/>
        </w:numPr>
        <w:spacing w:after="60" w:before="60"/>
      </w:pPr>
      <w:r>
        <w:rPr>
          <w:rFonts w:ascii="Arial" w:cs="Arial" w:eastAsia="Arial" w:hAnsi="Arial"/>
          <w:sz w:val="24"/>
          <w:szCs w:val="24"/>
        </w:rPr>
        <w:t xml:space="preserve">Natural language processing: enable regulators and brokers to query MDSM data using plain-language questions (e.g., 'Show all large trades in the past 30 days for mining sector equities') by integrating a retrieval-augmented generation (RAG) layer over the PostgreSQL data warehouse.</w:t>
      </w:r>
    </w:p>
    <w:p>
      <w:pPr>
        <w:spacing w:after="160" w:before="0"/>
      </w:pPr>
    </w:p>
    <w:p>
      <w:pPr>
        <w:pStyle w:val="Heading2"/>
        <w:spacing w:after="100" w:before="320"/>
      </w:pPr>
      <w:r>
        <w:rPr>
          <w:rFonts w:ascii="Arial" w:cs="Arial" w:eastAsia="Arial" w:hAnsi="Arial"/>
          <w:b/>
          <w:bCs/>
          <w:color w:val="2E75B6"/>
          <w:sz w:val="28"/>
          <w:szCs w:val="28"/>
        </w:rPr>
        <w:t xml:space="preserve">5.3.6  Corporate Actions and Investor Relations</w:t>
      </w:r>
    </w:p>
    <w:p>
      <w:pPr>
        <w:spacing w:after="120" w:before="80"/>
        <w:jc w:val="both"/>
      </w:pPr>
      <w:r>
        <w:rPr>
          <w:rFonts w:ascii="Arial" w:cs="Arial" w:eastAsia="Arial" w:hAnsi="Arial"/>
          <w:sz w:val="24"/>
          <w:szCs w:val="24"/>
        </w:rPr>
        <w:t xml:space="preserve">A complete securities platform must handle corporate actions — events that change the structure or value of securities. Currently, MDSM has no mechanism for:</w:t>
      </w:r>
    </w:p>
    <w:p>
      <w:pPr>
        <w:pStyle w:val="ListParagraph"/>
        <w:numPr>
          <w:ilvl w:val="0"/>
          <w:numId w:val="2"/>
        </w:numPr>
        <w:spacing w:after="60" w:before="60"/>
      </w:pPr>
      <w:r>
        <w:rPr>
          <w:rFonts w:ascii="Arial" w:cs="Arial" w:eastAsia="Arial" w:hAnsi="Arial"/>
          <w:sz w:val="24"/>
          <w:szCs w:val="24"/>
        </w:rPr>
        <w:t xml:space="preserve">Dividend distribution: calculate and distribute cash or stock dividends pro-rata to on-chain token holders. The holder list is already available via SecurityTokenRegistry.getHolders(), making on-chain dividend logic straightforward to implement.</w:t>
      </w:r>
    </w:p>
    <w:p>
      <w:pPr>
        <w:pStyle w:val="ListParagraph"/>
        <w:numPr>
          <w:ilvl w:val="0"/>
          <w:numId w:val="2"/>
        </w:numPr>
        <w:spacing w:after="60" w:before="60"/>
      </w:pPr>
      <w:r>
        <w:rPr>
          <w:rFonts w:ascii="Arial" w:cs="Arial" w:eastAsia="Arial" w:hAnsi="Arial"/>
          <w:sz w:val="24"/>
          <w:szCs w:val="24"/>
        </w:rPr>
        <w:t xml:space="preserve">Rights issues and bonus shares: mint additional tokens to existing holders in proportion to their holdings when an issuer announces a rights issue, crediting buyer wallets automatically.</w:t>
      </w:r>
    </w:p>
    <w:p>
      <w:pPr>
        <w:pStyle w:val="ListParagraph"/>
        <w:numPr>
          <w:ilvl w:val="0"/>
          <w:numId w:val="2"/>
        </w:numPr>
        <w:spacing w:after="60" w:before="60"/>
      </w:pPr>
      <w:r>
        <w:rPr>
          <w:rFonts w:ascii="Arial" w:cs="Arial" w:eastAsia="Arial" w:hAnsi="Arial"/>
          <w:sz w:val="24"/>
          <w:szCs w:val="24"/>
        </w:rPr>
        <w:t xml:space="preserve">Annual General Meeting (AGM) voting: enable tokenised proxy voting where holding N tokens grants N votes, recorded on-chain for auditability. This is a significant transparency improvement over paper-based voting.</w:t>
      </w:r>
    </w:p>
    <w:p>
      <w:pPr>
        <w:pStyle w:val="ListParagraph"/>
        <w:numPr>
          <w:ilvl w:val="0"/>
          <w:numId w:val="2"/>
        </w:numPr>
        <w:spacing w:after="60" w:before="60"/>
      </w:pPr>
      <w:r>
        <w:rPr>
          <w:rFonts w:ascii="Arial" w:cs="Arial" w:eastAsia="Arial" w:hAnsi="Arial"/>
          <w:sz w:val="24"/>
          <w:szCs w:val="24"/>
        </w:rPr>
        <w:t xml:space="preserve">SENS-equivalent announcements: build an issuer portal feature allowing issuers to publish regulatory announcements that are timestamped on-chain and distributed to all registered holders via push notification.</w:t>
      </w:r>
    </w:p>
    <w:p>
      <w:pPr>
        <w:spacing w:after="160" w:before="0"/>
      </w:pPr>
    </w:p>
    <w:p>
      <w:pPr>
        <w:pStyle w:val="Heading2"/>
        <w:spacing w:after="100" w:before="320"/>
      </w:pPr>
      <w:r>
        <w:rPr>
          <w:rFonts w:ascii="Arial" w:cs="Arial" w:eastAsia="Arial" w:hAnsi="Arial"/>
          <w:b/>
          <w:bCs/>
          <w:color w:val="2E75B6"/>
          <w:sz w:val="28"/>
          <w:szCs w:val="28"/>
        </w:rPr>
        <w:t xml:space="preserve">5.3.7  Developer API and Ecosystem</w:t>
      </w:r>
    </w:p>
    <w:p>
      <w:pPr>
        <w:spacing w:after="120" w:before="80"/>
        <w:jc w:val="both"/>
      </w:pPr>
      <w:r>
        <w:rPr>
          <w:rFonts w:ascii="Arial" w:cs="Arial" w:eastAsia="Arial" w:hAnsi="Arial"/>
          <w:sz w:val="24"/>
          <w:szCs w:val="24"/>
        </w:rPr>
        <w:t xml:space="preserve">Opening MDSM data and functionality to third-party developers would accelerate ecosystem growth and attract fintech innovation.</w:t>
      </w:r>
    </w:p>
    <w:p>
      <w:pPr>
        <w:pStyle w:val="ListParagraph"/>
        <w:numPr>
          <w:ilvl w:val="0"/>
          <w:numId w:val="2"/>
        </w:numPr>
        <w:spacing w:after="60" w:before="60"/>
      </w:pPr>
      <w:r>
        <w:rPr>
          <w:rFonts w:ascii="Arial" w:cs="Arial" w:eastAsia="Arial" w:hAnsi="Arial"/>
          <w:sz w:val="24"/>
          <w:szCs w:val="24"/>
        </w:rPr>
        <w:t xml:space="preserve">Publish a public REST and WebSocket API with OpenAPI 3.1 documentation covering market data, order management, and portfolio queries. Rate-limiting and API key management should be built on Kong Gateway or AWS API Gateway.</w:t>
      </w:r>
    </w:p>
    <w:p>
      <w:pPr>
        <w:pStyle w:val="ListParagraph"/>
        <w:numPr>
          <w:ilvl w:val="0"/>
          <w:numId w:val="2"/>
        </w:numPr>
        <w:spacing w:after="60" w:before="60"/>
      </w:pPr>
      <w:r>
        <w:rPr>
          <w:rFonts w:ascii="Arial" w:cs="Arial" w:eastAsia="Arial" w:hAnsi="Arial"/>
          <w:sz w:val="24"/>
          <w:szCs w:val="24"/>
        </w:rPr>
        <w:t xml:space="preserve">Provide a sandbox environment (connected to the development QBFT network) where developers can test integrations without real-value transactions.</w:t>
      </w:r>
    </w:p>
    <w:p>
      <w:pPr>
        <w:pStyle w:val="ListParagraph"/>
        <w:numPr>
          <w:ilvl w:val="0"/>
          <w:numId w:val="2"/>
        </w:numPr>
        <w:spacing w:after="60" w:before="60"/>
      </w:pPr>
      <w:r>
        <w:rPr>
          <w:rFonts w:ascii="Arial" w:cs="Arial" w:eastAsia="Arial" w:hAnsi="Arial"/>
          <w:sz w:val="24"/>
          <w:szCs w:val="24"/>
        </w:rPr>
        <w:t xml:space="preserve">Introduce a webhook system that notifies registered endpoints of market events (order filled, price crossed threshold, KYC approved), enabling real-time integrations with external portfolio management systems and accounting software.</w:t>
      </w:r>
    </w:p>
    <w:p>
      <w:pPr>
        <w:pStyle w:val="ListParagraph"/>
        <w:numPr>
          <w:ilvl w:val="0"/>
          <w:numId w:val="2"/>
        </w:numPr>
        <w:spacing w:after="60" w:before="60"/>
      </w:pPr>
      <w:r>
        <w:rPr>
          <w:rFonts w:ascii="Arial" w:cs="Arial" w:eastAsia="Arial" w:hAnsi="Arial"/>
          <w:sz w:val="24"/>
          <w:szCs w:val="24"/>
        </w:rPr>
        <w:t xml:space="preserve">Publish the SecurityTokenRegistry ABI and a TypeScript SDK so that fintech developers can interact with the MDSM blockchain directly from their own applications.</w:t>
      </w:r>
    </w:p>
    <w:p>
      <w:pPr>
        <w:spacing w:after="160" w:before="0"/>
      </w:pPr>
    </w:p>
    <w:p>
      <w:pPr>
        <w:pStyle w:val="Heading1"/>
        <w:spacing w:after="120" w:before="480"/>
      </w:pPr>
      <w:r>
        <w:rPr>
          <w:rFonts w:ascii="Arial" w:cs="Arial" w:eastAsia="Arial" w:hAnsi="Arial"/>
          <w:b/>
          <w:bCs/>
          <w:color w:val="1F3864"/>
          <w:sz w:val="36"/>
          <w:szCs w:val="36"/>
        </w:rPr>
        <w:t xml:space="preserve">5.4  Limitations of the Current Implementation</w:t>
      </w:r>
    </w:p>
    <w:p>
      <w:pPr>
        <w:pBdr>
          <w:bottom w:val="single" w:color="2E75B6" w:sz="6" w:space="1"/>
        </w:pBdr>
        <w:spacing w:after="0" w:before="0"/>
      </w:pPr>
    </w:p>
    <w:p>
      <w:pPr>
        <w:spacing w:after="80" w:before="0"/>
      </w:pPr>
    </w:p>
    <w:p>
      <w:pPr>
        <w:spacing w:after="120" w:before="80"/>
        <w:jc w:val="both"/>
      </w:pPr>
      <w:r>
        <w:rPr>
          <w:rFonts w:ascii="Arial" w:cs="Arial" w:eastAsia="Arial" w:hAnsi="Arial"/>
          <w:sz w:val="24"/>
          <w:szCs w:val="24"/>
        </w:rPr>
        <w:t xml:space="preserve">For completeness and academic rigour, the following limitations of the current MDSM prototype are acknowledged. These limitations are not design flaws but rather deliberate scope boundaries appropriate for a final-year project.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Limitation</w:t>
            </w:r>
          </w:p>
        </w:tc>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Impact</w:t>
            </w:r>
          </w:p>
        </w:tc>
        <w:tc>
          <w:tcPr>
            <w:tcW w:type="dxa" w:w="39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Mitigation / Future Work</w:t>
            </w:r>
          </w:p>
        </w:tc>
      </w:tr>
      <w:tr>
        <w:trPr>
          <w:tblHeader w:val="false"/>
        </w:trPr>
        <w:tc>
          <w:tcPr>
            <w:tcW w:type="dxa" w:w="26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Supabase free-tier project pausing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DB unavailable after 1 week inactivity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Migrate to paid Supabase tier or self-hosted PG</w:t>
            </w:r>
          </w:p>
        </w:tc>
      </w:tr>
      <w:tr>
        <w:trPr>
          <w:tblHeader w:val="false"/>
        </w:trPr>
        <w:tc>
          <w:tcPr>
            <w:tcW w:type="dxa" w:w="26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Single backend signer wallet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All on-chain tx from one key; single point of compromise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Implement multi-sig (Gnosis Safe) for production</w:t>
            </w:r>
          </w:p>
        </w:tc>
      </w:tr>
      <w:tr>
        <w:trPr>
          <w:tblHeader w:val="false"/>
        </w:trPr>
        <w:tc>
          <w:tcPr>
            <w:tcW w:type="dxa" w:w="26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20-second QBFT block period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~20 s confirmation latency per trade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Reduce to 2–5 s in production genesis config</w:t>
            </w:r>
          </w:p>
        </w:tc>
      </w:tr>
      <w:tr>
        <w:trPr>
          <w:tblHeader w:val="false"/>
        </w:trPr>
        <w:tc>
          <w:tcPr>
            <w:tcW w:type="dxa" w:w="26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No real-time price feed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Prices are static until manually updated by issuer</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Integrate market data oracle or exchange feed</w:t>
            </w:r>
          </w:p>
        </w:tc>
      </w:tr>
      <w:tr>
        <w:trPr>
          <w:tblHeader w:val="false"/>
        </w:trPr>
        <w:tc>
          <w:tcPr>
            <w:tcW w:type="dxa" w:w="26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localStorage session persistence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Session survives browser close; XSS risk</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Migrate fully to httpOnly cookie sessions</w:t>
            </w:r>
          </w:p>
        </w:tc>
      </w:tr>
      <w:tr>
        <w:trPr>
          <w:tblHeader w:val="false"/>
        </w:trPr>
        <w:tc>
          <w:tcPr>
            <w:tcW w:type="dxa" w:w="26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No email notification system</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Users unaware of fills, KYC status, alerts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Integrate SendGrid / Resend for transactional email</w:t>
            </w:r>
          </w:p>
        </w:tc>
      </w:tr>
      <w:tr>
        <w:trPr>
          <w:tblHeader w:val="false"/>
        </w:trPr>
        <w:tc>
          <w:tcPr>
            <w:tcW w:type="dxa" w:w="26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Manual order-book matching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Limit orders matched on interval, not instantly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Replace with real-time streaming matcher</w:t>
            </w:r>
          </w:p>
        </w:tc>
      </w:tr>
      <w:tr>
        <w:trPr>
          <w:tblHeader w:val="false"/>
        </w:trPr>
        <w:tc>
          <w:tcPr>
            <w:tcW w:type="dxa" w:w="26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No automated testing suite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Regressions must be caught manually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Add Jest unit tests and Playwright E2E tests</w:t>
            </w:r>
          </w:p>
        </w:tc>
      </w:tr>
    </w:tbl>
    <w:p>
      <w:pPr>
        <w:spacing w:after="160" w:before="0"/>
      </w:pPr>
    </w:p>
    <w:p>
      <w:pPr>
        <w:pStyle w:val="Heading1"/>
        <w:spacing w:after="120" w:before="480"/>
      </w:pPr>
      <w:r>
        <w:rPr>
          <w:rFonts w:ascii="Arial" w:cs="Arial" w:eastAsia="Arial" w:hAnsi="Arial"/>
          <w:b/>
          <w:bCs/>
          <w:color w:val="1F3864"/>
          <w:sz w:val="36"/>
          <w:szCs w:val="36"/>
        </w:rPr>
        <w:t xml:space="preserve">5.5  Conclusion</w:t>
      </w:r>
    </w:p>
    <w:p>
      <w:pPr>
        <w:pBdr>
          <w:bottom w:val="single" w:color="2E75B6" w:sz="6" w:space="1"/>
        </w:pBdr>
        <w:spacing w:after="0" w:before="0"/>
      </w:pPr>
    </w:p>
    <w:p>
      <w:pPr>
        <w:spacing w:after="80" w:before="0"/>
      </w:pPr>
    </w:p>
    <w:p>
      <w:pPr>
        <w:spacing w:after="120" w:before="80"/>
        <w:jc w:val="both"/>
      </w:pPr>
      <w:r>
        <w:rPr>
          <w:rFonts w:ascii="Arial" w:cs="Arial" w:eastAsia="Arial" w:hAnsi="Arial"/>
          <w:sz w:val="24"/>
          <w:szCs w:val="24"/>
        </w:rPr>
        <w:t xml:space="preserve">This chapter has presented a structured set of recommendations and a forward-looking roadmap for the Maseru Digital Securities Market. The recommendations address immediate technical priorities — authentication hardening, blockchain reliability, database infrastructure, and regulatory alignment — that must be resolved before MDSM can be licensed as a live trading platform.</w:t>
      </w:r>
    </w:p>
    <w:p>
      <w:pPr>
        <w:spacing w:after="120" w:before="80"/>
        <w:jc w:val="both"/>
      </w:pPr>
      <w:r>
        <w:rPr>
          <w:rFonts w:ascii="Arial" w:cs="Arial" w:eastAsia="Arial" w:hAnsi="Arial"/>
          <w:sz w:val="24"/>
          <w:szCs w:val="24"/>
        </w:rPr>
        <w:t xml:space="preserve">The future work roadmap charts a path from the current prototype to a full-featured national capital markets infrastructure. Key milestones include: building a real-time secondary market with continuous price discovery; extending to mobile platforms to reach Lesotho's growing smartphone user base; tokenising government securities to attract anchor liquidity; and opening a developer API to stimulate a fintech ecosystem around MDSM data.</w:t>
      </w:r>
    </w:p>
    <w:p>
      <w:pPr>
        <w:spacing w:after="120" w:before="80"/>
        <w:jc w:val="both"/>
      </w:pPr>
      <w:r>
        <w:rPr>
          <w:rFonts w:ascii="Arial" w:cs="Arial" w:eastAsia="Arial" w:hAnsi="Arial"/>
          <w:sz w:val="24"/>
          <w:szCs w:val="24"/>
        </w:rPr>
        <w:t xml:space="preserve">Perhaps most significantly, the cross-chain interoperability work and alignment with the SARB Project Dunbar CBDC framework positions MDSM as a potential node in the emerging Southern African digital financial infrastructure. A securities market that can settle in programmable central bank digital currency, interoperate with SADC neighbours, and provide transparent on-chain audit trails represents a leap in financial infrastructure maturity that would benefit not only Lesotho but the broader region.</w:t>
      </w:r>
    </w:p>
    <w:p>
      <w:pPr>
        <w:spacing w:after="120" w:before="80"/>
        <w:jc w:val="both"/>
      </w:pPr>
      <w:r>
        <w:rPr>
          <w:rFonts w:ascii="Arial" w:cs="Arial" w:eastAsia="Arial" w:hAnsi="Arial"/>
          <w:sz w:val="24"/>
          <w:szCs w:val="24"/>
        </w:rPr>
        <w:t xml:space="preserve">The MDSM prototype demonstrates that the technical foundation — Next.js App Router, Hyperledger Besu QBFT, Supabase PostgreSQL, and the SecurityTokenRegistry smart contract — is sound, extensible, and capable of supporting this evolution. With sustained investment in the areas outlined in this chapter, MDSM can fulfil its mandate as the official digital securities trading platform of the Kingdom of Lesotho.</w:t>
      </w:r>
    </w:p>
    <w:p>
      <w:pPr>
        <w:spacing w:after="24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il"/>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Chapter Summary</w:t>
            </w:r>
          </w:p>
          <w:p>
            <w:pPr>
              <w:spacing w:after="0" w:before="60"/>
              <w:jc w:val="both"/>
            </w:pPr>
            <w:r>
              <w:rPr>
                <w:rFonts w:ascii="Arial" w:cs="Arial" w:eastAsia="Arial" w:hAnsi="Arial"/>
                <w:sz w:val="22"/>
                <w:szCs w:val="22"/>
              </w:rPr>
              <w:t xml:space="preserve">This chapter presented: (1) five thematic recommendations covering authentication, KYC, blockchain reliability, database infrastructure, and regulatory compliance; (2) seven future work directions including secondary market development, mobile applications, advanced instruments, cross-chain interoperability, AI analytics, corporate actions, and a developer API; (3) a structured limitations table acknowledging the scope boundaries of the current prototype; and (4) a concluding synthesis positioning MDSM within the broader SADC digital finance landscape.</w:t>
            </w:r>
          </w:p>
        </w:tc>
      </w:tr>
    </w:tbl>
    <w:p>
      <w:pPr>
        <w:spacing w:after="80" w:before="0"/>
      </w:pPr>
    </w:p>
    <w:p>
      <w:r>
        <w:br w:type="page"/>
      </w:r>
    </w:p>
    <w:p>
      <w:pPr>
        <w:pStyle w:val="Heading1"/>
        <w:spacing w:after="120" w:before="480"/>
      </w:pPr>
      <w:r>
        <w:rPr>
          <w:rFonts w:ascii="Arial" w:cs="Arial" w:eastAsia="Arial" w:hAnsi="Arial"/>
          <w:b/>
          <w:bCs/>
          <w:color w:val="1F3864"/>
          <w:sz w:val="36"/>
          <w:szCs w:val="36"/>
        </w:rPr>
        <w:t xml:space="preserve">References</w:t>
      </w:r>
    </w:p>
    <w:p>
      <w:pPr>
        <w:pBdr>
          <w:bottom w:val="single" w:color="2E75B6" w:sz="6" w:space="1"/>
        </w:pBdr>
        <w:spacing w:after="0" w:before="0"/>
      </w:pPr>
    </w:p>
    <w:p>
      <w:pPr>
        <w:spacing w:after="80" w:before="0"/>
      </w:pPr>
    </w:p>
    <w:p>
      <w:pPr>
        <w:spacing w:after="120" w:before="80"/>
        <w:jc w:val="both"/>
      </w:pPr>
      <w:r>
        <w:rPr>
          <w:rFonts w:ascii="Arial" w:cs="Arial" w:eastAsia="Arial" w:hAnsi="Arial"/>
          <w:i w:val="false"/>
          <w:iCs w:val="false"/>
          <w:sz w:val="24"/>
          <w:szCs w:val="24"/>
        </w:rPr>
        <w:t xml:space="preserve">Antonopoulos, A. M., &amp; Wood, G. (2018). Mastering Ethereum: Building Smart Contracts and DApps. O'Reilly Media.</w:t>
      </w:r>
    </w:p>
    <w:p>
      <w:pPr>
        <w:spacing w:after="120" w:before="80"/>
        <w:jc w:val="both"/>
      </w:pPr>
      <w:r>
        <w:rPr>
          <w:rFonts w:ascii="Arial" w:cs="Arial" w:eastAsia="Arial" w:hAnsi="Arial"/>
          <w:sz w:val="24"/>
          <w:szCs w:val="24"/>
        </w:rPr>
        <w:t xml:space="preserve">Basel Committee on Banking Supervision. (2022). Prudential treatment of cryptoasset exposures. Bank for International Settlements.</w:t>
      </w:r>
    </w:p>
    <w:p>
      <w:pPr>
        <w:spacing w:after="120" w:before="80"/>
        <w:jc w:val="both"/>
      </w:pPr>
      <w:r>
        <w:rPr>
          <w:rFonts w:ascii="Arial" w:cs="Arial" w:eastAsia="Arial" w:hAnsi="Arial"/>
          <w:sz w:val="24"/>
          <w:szCs w:val="24"/>
        </w:rPr>
        <w:t xml:space="preserve">Capital Markets Authority of Lesotho. (2021). Capital Markets Bill (Draft). Government of Lesotho.</w:t>
      </w:r>
    </w:p>
    <w:p>
      <w:pPr>
        <w:spacing w:after="120" w:before="80"/>
        <w:jc w:val="both"/>
      </w:pPr>
      <w:r>
        <w:rPr>
          <w:rFonts w:ascii="Arial" w:cs="Arial" w:eastAsia="Arial" w:hAnsi="Arial"/>
          <w:sz w:val="24"/>
          <w:szCs w:val="24"/>
        </w:rPr>
        <w:t xml:space="preserve">Hyperledger Foundation. (2023). Hyperledger Besu Documentation: QBFT Consensus Protocol. Linux Foundation.</w:t>
      </w:r>
    </w:p>
    <w:p>
      <w:pPr>
        <w:spacing w:after="120" w:before="80"/>
        <w:jc w:val="both"/>
      </w:pPr>
      <w:r>
        <w:rPr>
          <w:rFonts w:ascii="Arial" w:cs="Arial" w:eastAsia="Arial" w:hAnsi="Arial"/>
          <w:sz w:val="24"/>
          <w:szCs w:val="24"/>
        </w:rPr>
        <w:t xml:space="preserve">International Organisation of Securities Commissions (IOSCO). (2020). Global Stablecoin Initiatives: Final Report. IOSCO.</w:t>
      </w:r>
    </w:p>
    <w:p>
      <w:pPr>
        <w:spacing w:after="120" w:before="80"/>
        <w:jc w:val="both"/>
      </w:pPr>
      <w:r>
        <w:rPr>
          <w:rFonts w:ascii="Arial" w:cs="Arial" w:eastAsia="Arial" w:hAnsi="Arial"/>
          <w:sz w:val="24"/>
          <w:szCs w:val="24"/>
        </w:rPr>
        <w:t xml:space="preserve">Lesotho Central Bank. (2022). Financial Stability Report. Central Bank of Lesotho.</w:t>
      </w:r>
    </w:p>
    <w:p>
      <w:pPr>
        <w:spacing w:after="120" w:before="80"/>
        <w:jc w:val="both"/>
      </w:pPr>
      <w:r>
        <w:rPr>
          <w:rFonts w:ascii="Arial" w:cs="Arial" w:eastAsia="Arial" w:hAnsi="Arial"/>
          <w:sz w:val="24"/>
          <w:szCs w:val="24"/>
        </w:rPr>
        <w:t xml:space="preserve">Nakamoto, S. (2008). Bitcoin: A Peer-to-Peer Electronic Cash System. https://bitcoin.org/bitcoin.pdf</w:t>
      </w:r>
    </w:p>
    <w:p>
      <w:pPr>
        <w:spacing w:after="120" w:before="80"/>
        <w:jc w:val="both"/>
      </w:pPr>
      <w:r>
        <w:rPr>
          <w:rFonts w:ascii="Arial" w:cs="Arial" w:eastAsia="Arial" w:hAnsi="Arial"/>
          <w:sz w:val="24"/>
          <w:szCs w:val="24"/>
        </w:rPr>
        <w:t xml:space="preserve">OpenZeppelin. (2023). Contracts v5.0: Upgradeable Contracts. OpenZeppelin Documentation.</w:t>
      </w:r>
    </w:p>
    <w:p>
      <w:pPr>
        <w:spacing w:after="120" w:before="80"/>
        <w:jc w:val="both"/>
      </w:pPr>
      <w:r>
        <w:rPr>
          <w:rFonts w:ascii="Arial" w:cs="Arial" w:eastAsia="Arial" w:hAnsi="Arial"/>
          <w:sz w:val="24"/>
          <w:szCs w:val="24"/>
        </w:rPr>
        <w:t xml:space="preserve">South African Reserve Bank. (2022). Project Dunbar: International settlements using multi-CBDCs. BIS Innovation Hub.</w:t>
      </w:r>
    </w:p>
    <w:p>
      <w:pPr>
        <w:spacing w:after="120" w:before="80"/>
        <w:jc w:val="both"/>
      </w:pPr>
      <w:r>
        <w:rPr>
          <w:rFonts w:ascii="Arial" w:cs="Arial" w:eastAsia="Arial" w:hAnsi="Arial"/>
          <w:sz w:val="24"/>
          <w:szCs w:val="24"/>
        </w:rPr>
        <w:t xml:space="preserve">Supabase Inc. (2024). Supabase Supavisor: Architecture and transaction-mode pooling. Supabase Documentation.</w:t>
      </w:r>
    </w:p>
    <w:p>
      <w:pPr>
        <w:spacing w:after="120" w:before="80"/>
        <w:jc w:val="both"/>
      </w:pPr>
      <w:r>
        <w:rPr>
          <w:rFonts w:ascii="Arial" w:cs="Arial" w:eastAsia="Arial" w:hAnsi="Arial"/>
          <w:sz w:val="24"/>
          <w:szCs w:val="24"/>
        </w:rPr>
        <w:t xml:space="preserve">Vercel Inc. (2024). Next.js 16 Documentation: App Router and Proxy convention. Vercel.</w:t>
      </w:r>
    </w:p>
    <w:p>
      <w:pPr>
        <w:spacing w:after="120" w:before="80"/>
        <w:jc w:val="both"/>
      </w:pPr>
      <w:r>
        <w:rPr>
          <w:rFonts w:ascii="Arial" w:cs="Arial" w:eastAsia="Arial" w:hAnsi="Arial"/>
          <w:sz w:val="24"/>
          <w:szCs w:val="24"/>
        </w:rPr>
        <w:t xml:space="preserve">World Bank Group. (2023). Financial Inclusion in Southern Africa: The Role of Digital Infrastructure. World Bank.</w:t>
      </w:r>
    </w:p>
    <w:p>
      <w:pPr>
        <w:spacing w:after="160" w:before="0"/>
      </w:pP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    National University of Lesotho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55555"/>
        <w:sz w:val="18"/>
        <w:szCs w:val="18"/>
      </w:rPr>
      <w:t xml:space="preserve">MDSM  |  Chapter 5: Recommendations and Future Work</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D6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2026-05-29T11:56:51.029Z</dcterms:created>
  <dcterms:modified xsi:type="dcterms:W3CDTF">2026-05-29T11:56:51.029Z</dcterms:modified>
</cp:coreProperties>
</file>

<file path=docProps/custom.xml><?xml version="1.0" encoding="utf-8"?>
<Properties xmlns="http://schemas.openxmlformats.org/officeDocument/2006/custom-properties" xmlns:vt="http://schemas.openxmlformats.org/officeDocument/2006/docPropsVTypes"/>
</file>