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40" w:before="0"/>
        <w:jc w:val="center"/>
      </w:pPr>
      <w:r>
        <w:rPr>
          <w:rFonts w:ascii="Arial" w:cs="Arial" w:eastAsia="Arial" w:hAnsi="Arial"/>
          <w:b/>
          <w:bCs/>
          <w:caps/>
          <w:color w:val="1F3864"/>
          <w:sz w:val="28"/>
          <w:szCs w:val="28"/>
        </w:rPr>
        <w:t xml:space="preserve">MASERU DIGITAL SECURITIES MARKET</w:t>
      </w:r>
    </w:p>
    <w:p>
      <w:pPr>
        <w:spacing w:after="180" w:before="0"/>
        <w:jc w:val="center"/>
      </w:pPr>
      <w:r>
        <w:rPr>
          <w:rFonts w:ascii="Arial" w:cs="Arial" w:eastAsia="Arial" w:hAnsi="Arial"/>
          <w:color w:val="555555"/>
          <w:sz w:val="22"/>
          <w:szCs w:val="22"/>
        </w:rPr>
        <w:t xml:space="preserve">National University of Lesotho — Faculty of Science &amp; Technology</w:t>
      </w:r>
    </w:p>
    <w:p>
      <w:pPr>
        <w:pBdr>
          <w:bottom w:val="single" w:color="C9A227" w:sz="12" w:space="1"/>
        </w:pBdr>
        <w:spacing w:after="0" w:before="0"/>
      </w:pPr>
    </w:p>
    <w:p>
      <w:pPr>
        <w:spacing w:after="400" w:before="0"/>
      </w:pPr>
    </w:p>
    <w:p>
      <w:pPr>
        <w:spacing w:after="40" w:before="100"/>
        <w:jc w:val="center"/>
      </w:pPr>
      <w:r>
        <w:rPr>
          <w:rFonts w:ascii="Arial" w:cs="Arial" w:eastAsia="Arial" w:hAnsi="Arial"/>
          <w:b/>
          <w:bCs/>
          <w:caps/>
          <w:color w:val="2E75B6"/>
          <w:sz w:val="52"/>
          <w:szCs w:val="52"/>
        </w:rPr>
        <w:t xml:space="preserve">CHAPTERS 1 — 3</w:t>
      </w:r>
    </w:p>
    <w:p>
      <w:pPr>
        <w:spacing w:after="60" w:before="0"/>
        <w:jc w:val="center"/>
      </w:pPr>
      <w:r>
        <w:rPr>
          <w:rFonts w:ascii="Arial" w:cs="Arial" w:eastAsia="Arial" w:hAnsi="Arial"/>
          <w:b/>
          <w:bCs/>
          <w:color w:val="1F3864"/>
          <w:sz w:val="36"/>
          <w:szCs w:val="36"/>
        </w:rPr>
        <w:t xml:space="preserve">Introduction  |  Literature Review  |  Research Methodology</w:t>
      </w:r>
    </w:p>
    <w:p>
      <w:pPr>
        <w:spacing w:after="400" w:before="0"/>
      </w:pPr>
    </w:p>
    <w:p>
      <w:pPr>
        <w:pBdr>
          <w:bottom w:val="single" w:color="C9A227" w:sz="12" w:space="1"/>
        </w:pBdr>
        <w:spacing w:after="0" w:before="0"/>
      </w:pPr>
    </w:p>
    <w:p>
      <w:pPr>
        <w:spacing w:after="3200" w:before="0"/>
      </w:pPr>
    </w:p>
    <w:p>
      <w:pPr>
        <w:spacing w:after="60" w:before="0"/>
        <w:jc w:val="center"/>
      </w:pPr>
      <w:r>
        <w:rPr>
          <w:rFonts w:ascii="Arial" w:cs="Arial" w:eastAsia="Arial" w:hAnsi="Arial"/>
          <w:i/>
          <w:iCs/>
          <w:color w:val="444444"/>
          <w:sz w:val="24"/>
          <w:szCs w:val="24"/>
        </w:rPr>
        <w:t xml:space="preserve">Bachelor of Science in Computer Science (Honours)</w:t>
      </w:r>
    </w:p>
    <w:p>
      <w:pPr>
        <w:spacing w:after="60" w:before="0"/>
        <w:jc w:val="center"/>
      </w:pPr>
      <w:r>
        <w:rPr>
          <w:rFonts w:ascii="Arial" w:cs="Arial" w:eastAsia="Arial" w:hAnsi="Arial"/>
          <w:color w:val="444444"/>
          <w:sz w:val="24"/>
          <w:szCs w:val="24"/>
        </w:rPr>
        <w:t xml:space="preserve">Supervisor: [Supervisor Name]</w:t>
      </w:r>
    </w:p>
    <w:p>
      <w:pPr>
        <w:spacing w:after="60" w:before="0"/>
        <w:jc w:val="center"/>
      </w:pPr>
      <w:r>
        <w:rPr>
          <w:rFonts w:ascii="Arial" w:cs="Arial" w:eastAsia="Arial" w:hAnsi="Arial"/>
          <w:color w:val="444444"/>
          <w:sz w:val="24"/>
          <w:szCs w:val="24"/>
        </w:rPr>
        <w:t xml:space="preserve">May 2026</w:t>
      </w:r>
    </w:p>
    <w:p>
      <w:r>
        <w:br w:type="page"/>
      </w:r>
    </w:p>
    <w:p>
      <w:pPr>
        <w:sectPr>
          <w:pgSz w:w="12240" w:h="15840" w:orient="portrait"/>
          <w:pgMar w:top="1440" w:right="1440" w:bottom="1440" w:left="1800" w:header="708" w:footer="708" w:gutter="0"/>
          <w:pgNumType/>
          <w:docGrid w:linePitch="360"/>
        </w:sectPr>
      </w:pPr>
    </w:p>
    <w:p>
      <w:pPr>
        <w:pStyle w:val="Heading1"/>
        <w:spacing w:after="120" w:before="480"/>
      </w:pPr>
      <w:r>
        <w:rPr>
          <w:rFonts w:ascii="Arial" w:cs="Arial" w:eastAsia="Arial" w:hAnsi="Arial"/>
          <w:b/>
          <w:bCs/>
          <w:color w:val="1F3864"/>
          <w:sz w:val="36"/>
          <w:szCs w:val="36"/>
        </w:rPr>
        <w:t xml:space="preserve">CHAPTER 1</w:t>
      </w:r>
    </w:p>
    <w:p>
      <w:pPr>
        <w:spacing w:after="200" w:before="0"/>
      </w:pPr>
      <w:r>
        <w:rPr>
          <w:rFonts w:ascii="Arial" w:cs="Arial" w:eastAsia="Arial" w:hAnsi="Arial"/>
          <w:b/>
          <w:bCs/>
          <w:color w:val="1F3864"/>
          <w:sz w:val="40"/>
          <w:szCs w:val="40"/>
        </w:rPr>
        <w:t xml:space="preserve">Introduction</w:t>
      </w:r>
    </w:p>
    <w:p>
      <w:pPr>
        <w:pBdr>
          <w:bottom w:val="single" w:color="2E75B6" w:sz="6" w:space="1"/>
        </w:pBdr>
        <w:spacing w:after="0" w:before="0"/>
      </w:pPr>
    </w:p>
    <w:p>
      <w:pPr>
        <w:spacing w:after="80" w:before="0"/>
      </w:pPr>
    </w:p>
    <w:p>
      <w:pPr>
        <w:pStyle w:val="Heading2"/>
        <w:spacing w:after="100" w:before="320"/>
      </w:pPr>
      <w:r>
        <w:rPr>
          <w:rFonts w:ascii="Arial" w:cs="Arial" w:eastAsia="Arial" w:hAnsi="Arial"/>
          <w:b/>
          <w:bCs/>
          <w:color w:val="2E75B6"/>
          <w:sz w:val="28"/>
          <w:szCs w:val="28"/>
        </w:rPr>
        <w:t xml:space="preserve">1.1  Background and Context</w:t>
      </w:r>
    </w:p>
    <w:p>
      <w:pPr>
        <w:spacing w:after="120" w:before="80"/>
        <w:jc w:val="both"/>
      </w:pPr>
      <w:r>
        <w:rPr>
          <w:rFonts w:ascii="Arial" w:cs="Arial" w:eastAsia="Arial" w:hAnsi="Arial"/>
          <w:sz w:val="24"/>
          <w:szCs w:val="24"/>
        </w:rPr>
        <w:t xml:space="preserve">Capital markets are the backbone of modern economic development. They provide the infrastructure through which businesses raise long-term financing, governments fund public infrastructure, and investors allocate savings productively. In well-developed economies, securities exchanges facilitate price discovery, capital formation, and wealth distribution on a scale that directly correlates with GDP growth.</w:t>
      </w:r>
    </w:p>
    <w:p>
      <w:pPr>
        <w:spacing w:after="120" w:before="80"/>
        <w:jc w:val="both"/>
      </w:pPr>
      <w:r>
        <w:rPr>
          <w:rFonts w:ascii="Arial" w:cs="Arial" w:eastAsia="Arial" w:hAnsi="Arial"/>
          <w:sz w:val="24"/>
          <w:szCs w:val="24"/>
        </w:rPr>
        <w:t xml:space="preserve">The Kingdom of Lesotho, a landlocked country of approximately 2.2 million people entirely surrounded by the Republic of South Africa, has historically lacked a domestic capital market. Lesotho's financial sector is dominated by four commercial banks — all subsidiaries of South African banking groups — and a small insurance sector. There is no domestic stock exchange, no bond market, and no formalised mechanism through which Basotho businesses can raise equity capital from local investors.</w:t>
      </w:r>
    </w:p>
    <w:p>
      <w:pPr>
        <w:spacing w:after="120" w:before="80"/>
        <w:jc w:val="both"/>
      </w:pPr>
      <w:r>
        <w:rPr>
          <w:rFonts w:ascii="Arial" w:cs="Arial" w:eastAsia="Arial" w:hAnsi="Arial"/>
          <w:sz w:val="24"/>
          <w:szCs w:val="24"/>
        </w:rPr>
        <w:t xml:space="preserve">The consequence of this absence is profound: Lesotho's high-net-worth individuals and institutional investors (pension funds, insurance companies) are compelled to invest on the Johannesburg Stock Exchange (JSE) or through foreign mutual funds, resulting in substantial capital outflows that do not benefit the domestic economy. Meanwhile, promising Basotho enterprises — particularly small and medium-sized enterprises (SMEs) in the growing textile, renewable energy, and tourism sectors — have no means of accessing domestic equity or bond finance beyond bank loans.</w:t>
      </w:r>
    </w:p>
    <w:p>
      <w:pPr>
        <w:spacing w:after="120" w:before="80"/>
        <w:jc w:val="both"/>
      </w:pPr>
      <w:r>
        <w:rPr>
          <w:rFonts w:ascii="Arial" w:cs="Arial" w:eastAsia="Arial" w:hAnsi="Arial"/>
          <w:sz w:val="24"/>
          <w:szCs w:val="24"/>
        </w:rPr>
        <w:t xml:space="preserve">Globally, the advent of blockchain technology and digital asset tokenisation has opened a new pathway for developing economies to leapfrog traditional market infrastructure. Rather than replicating the costly physical exchange model of the JSE or the London Stock Exchange — which required decades of institutional development — a modern digital securities market can be built on distributed ledger technology (DLT), smart contracts, and cloud-native web applications at a fraction of the traditional cost and time.</w:t>
      </w:r>
    </w:p>
    <w:p>
      <w:pPr>
        <w:spacing w:after="120" w:before="80"/>
        <w:jc w:val="both"/>
      </w:pPr>
      <w:r>
        <w:rPr>
          <w:rFonts w:ascii="Arial" w:cs="Arial" w:eastAsia="Arial" w:hAnsi="Arial"/>
          <w:sz w:val="24"/>
          <w:szCs w:val="24"/>
        </w:rPr>
        <w:t xml:space="preserve">The Maseru Digital Securities Market (MDSM) is a response to this opportunity. It is a blockchain-integrated digital securities trading platform purpose-built for the Kingdom of Lesotho, designed to establish the foundation of a domestic capital market that is transparent, auditable, accessible, and aligned with emerging international standards for digital securities infrastructure.</w:t>
      </w:r>
    </w:p>
    <w:p>
      <w:pPr>
        <w:spacing w:after="160" w:before="0"/>
      </w:pPr>
    </w:p>
    <w:p>
      <w:pPr>
        <w:pStyle w:val="Heading2"/>
        <w:spacing w:after="100" w:before="320"/>
      </w:pPr>
      <w:r>
        <w:rPr>
          <w:rFonts w:ascii="Arial" w:cs="Arial" w:eastAsia="Arial" w:hAnsi="Arial"/>
          <w:b/>
          <w:bCs/>
          <w:color w:val="2E75B6"/>
          <w:sz w:val="28"/>
          <w:szCs w:val="28"/>
        </w:rPr>
        <w:t xml:space="preserve">1.2  Problem Statement</w:t>
      </w:r>
    </w:p>
    <w:p>
      <w:pPr>
        <w:spacing w:after="120" w:before="80"/>
        <w:jc w:val="both"/>
      </w:pPr>
      <w:r>
        <w:rPr>
          <w:rFonts w:ascii="Arial" w:cs="Arial" w:eastAsia="Arial" w:hAnsi="Arial"/>
          <w:sz w:val="24"/>
          <w:szCs w:val="24"/>
        </w:rPr>
        <w:t xml:space="preserve">Lesotho faces a structural capital market gap that impedes both investor wealth creation and enterprise financing. The specific problems addressed by this research are:</w:t>
      </w:r>
    </w:p>
    <w:p>
      <w:pPr>
        <w:pStyle w:val="ListParagraph"/>
        <w:numPr>
          <w:ilvl w:val="0"/>
          <w:numId w:val="2"/>
        </w:numPr>
        <w:spacing w:after="60" w:before="60"/>
      </w:pPr>
      <w:r>
        <w:rPr>
          <w:rFonts w:ascii="Arial" w:cs="Arial" w:eastAsia="Arial" w:hAnsi="Arial"/>
          <w:sz w:val="24"/>
          <w:szCs w:val="24"/>
        </w:rPr>
        <w:t xml:space="preserve">Absence of a domestic securities exchange: Lesotho has no regulated platform on which domestic equities, bonds, or collective investment schemes can be issued and traded. This forces capital offshore and denies domestic enterprises access to equity financing.</w:t>
      </w:r>
    </w:p>
    <w:p>
      <w:pPr>
        <w:pStyle w:val="ListParagraph"/>
        <w:numPr>
          <w:ilvl w:val="0"/>
          <w:numId w:val="2"/>
        </w:numPr>
        <w:spacing w:after="60" w:before="60"/>
      </w:pPr>
      <w:r>
        <w:rPr>
          <w:rFonts w:ascii="Arial" w:cs="Arial" w:eastAsia="Arial" w:hAnsi="Arial"/>
          <w:sz w:val="24"/>
          <w:szCs w:val="24"/>
        </w:rPr>
        <w:t xml:space="preserve">High barriers to market participation: Traditional securities exchanges require significant physical infrastructure, intermediary networks, and regulatory apparatus that are prohibitively expensive for a small economy to establish from scratch using conventional means.</w:t>
      </w:r>
    </w:p>
    <w:p>
      <w:pPr>
        <w:pStyle w:val="ListParagraph"/>
        <w:numPr>
          <w:ilvl w:val="0"/>
          <w:numId w:val="2"/>
        </w:numPr>
        <w:spacing w:after="60" w:before="60"/>
      </w:pPr>
      <w:r>
        <w:rPr>
          <w:rFonts w:ascii="Arial" w:cs="Arial" w:eastAsia="Arial" w:hAnsi="Arial"/>
          <w:sz w:val="24"/>
          <w:szCs w:val="24"/>
        </w:rPr>
        <w:t xml:space="preserve">Lack of transparency and auditability: Informal investment arrangements between Basotho businesses and investors operate outside regulatory oversight, creating risks of fraud, insider dealing, and investor protection failures.</w:t>
      </w:r>
    </w:p>
    <w:p>
      <w:pPr>
        <w:pStyle w:val="ListParagraph"/>
        <w:numPr>
          <w:ilvl w:val="0"/>
          <w:numId w:val="2"/>
        </w:numPr>
        <w:spacing w:after="60" w:before="60"/>
      </w:pPr>
      <w:r>
        <w:rPr>
          <w:rFonts w:ascii="Arial" w:cs="Arial" w:eastAsia="Arial" w:hAnsi="Arial"/>
          <w:sz w:val="24"/>
          <w:szCs w:val="24"/>
        </w:rPr>
        <w:t xml:space="preserve">Exclusion of retail investors: Without a domestic exchange, retail investors in Lesotho cannot participate in the growth of domestic enterprises. Wealth-building through equity ownership remains inaccessible to most citizens.</w:t>
      </w:r>
    </w:p>
    <w:p>
      <w:pPr>
        <w:pStyle w:val="ListParagraph"/>
        <w:numPr>
          <w:ilvl w:val="0"/>
          <w:numId w:val="2"/>
        </w:numPr>
        <w:spacing w:after="60" w:before="60"/>
      </w:pPr>
      <w:r>
        <w:rPr>
          <w:rFonts w:ascii="Arial" w:cs="Arial" w:eastAsia="Arial" w:hAnsi="Arial"/>
          <w:sz w:val="24"/>
          <w:szCs w:val="24"/>
        </w:rPr>
        <w:t xml:space="preserve">Regulatory vacuum: The Lesotho Capital Markets Bill (2021 draft) anticipates the establishment of a capital markets infrastructure but provides no technical blueprint for how such infrastructure should be implemented using modern digital technologies.</w:t>
      </w:r>
    </w:p>
    <w:p>
      <w:pPr>
        <w:spacing w:after="160" w:before="0"/>
      </w:pPr>
    </w:p>
    <w:p>
      <w:pPr>
        <w:pStyle w:val="Heading2"/>
        <w:spacing w:after="100" w:before="320"/>
      </w:pPr>
      <w:r>
        <w:rPr>
          <w:rFonts w:ascii="Arial" w:cs="Arial" w:eastAsia="Arial" w:hAnsi="Arial"/>
          <w:b/>
          <w:bCs/>
          <w:color w:val="2E75B6"/>
          <w:sz w:val="28"/>
          <w:szCs w:val="28"/>
        </w:rPr>
        <w:t xml:space="preserve">1.3  Research Objectives</w:t>
      </w:r>
    </w:p>
    <w:p>
      <w:pPr>
        <w:spacing w:after="120" w:before="80"/>
        <w:jc w:val="both"/>
      </w:pPr>
      <w:r>
        <w:rPr>
          <w:rFonts w:ascii="Arial" w:cs="Arial" w:eastAsia="Arial" w:hAnsi="Arial"/>
          <w:sz w:val="24"/>
          <w:szCs w:val="24"/>
        </w:rPr>
        <w:t xml:space="preserve">This research aims to design, implement, and evaluate a blockchain-integrated digital securities market platform for Lesotho. The specific objectives are:</w:t>
      </w:r>
    </w:p>
    <w:p>
      <w:pPr>
        <w:pStyle w:val="ListParagraph"/>
        <w:numPr>
          <w:ilvl w:val="0"/>
          <w:numId w:val="2"/>
        </w:numPr>
        <w:spacing w:after="60" w:before="60"/>
      </w:pPr>
      <w:r>
        <w:rPr>
          <w:rFonts w:ascii="Arial" w:cs="Arial" w:eastAsia="Arial" w:hAnsi="Arial"/>
          <w:sz w:val="24"/>
          <w:szCs w:val="24"/>
        </w:rPr>
        <w:t xml:space="preserve">To analyse the requirements of a digital securities trading platform appropriate for Lesotho's regulatory and economic context.</w:t>
      </w:r>
    </w:p>
    <w:p>
      <w:pPr>
        <w:pStyle w:val="ListParagraph"/>
        <w:numPr>
          <w:ilvl w:val="0"/>
          <w:numId w:val="2"/>
        </w:numPr>
        <w:spacing w:after="60" w:before="60"/>
      </w:pPr>
      <w:r>
        <w:rPr>
          <w:rFonts w:ascii="Arial" w:cs="Arial" w:eastAsia="Arial" w:hAnsi="Arial"/>
          <w:sz w:val="24"/>
          <w:szCs w:val="24"/>
        </w:rPr>
        <w:t xml:space="preserve">To design a system architecture that integrates a permissioned blockchain (Hyperledger Besu QBFT) with a modern web application framework (Next.js) and a cloud-native relational database (Supabase PostgreSQL) for on-chain trade recording and off-chain data management.</w:t>
      </w:r>
    </w:p>
    <w:p>
      <w:pPr>
        <w:pStyle w:val="ListParagraph"/>
        <w:numPr>
          <w:ilvl w:val="0"/>
          <w:numId w:val="2"/>
        </w:numPr>
        <w:spacing w:after="60" w:before="60"/>
      </w:pPr>
      <w:r>
        <w:rPr>
          <w:rFonts w:ascii="Arial" w:cs="Arial" w:eastAsia="Arial" w:hAnsi="Arial"/>
          <w:sz w:val="24"/>
          <w:szCs w:val="24"/>
        </w:rPr>
        <w:t xml:space="preserve">To implement a role-based multi-stakeholder platform supporting the five core market participant roles: administrator, broker, investor, issuer, and regulator.</w:t>
      </w:r>
    </w:p>
    <w:p>
      <w:pPr>
        <w:pStyle w:val="ListParagraph"/>
        <w:numPr>
          <w:ilvl w:val="0"/>
          <w:numId w:val="2"/>
        </w:numPr>
        <w:spacing w:after="60" w:before="60"/>
      </w:pPr>
      <w:r>
        <w:rPr>
          <w:rFonts w:ascii="Arial" w:cs="Arial" w:eastAsia="Arial" w:hAnsi="Arial"/>
          <w:sz w:val="24"/>
          <w:szCs w:val="24"/>
        </w:rPr>
        <w:t xml:space="preserve">To implement a Know Your Customer (KYC) and compliance workflow aligned with anti-money laundering (AML) obligations under the Lesotho Money Laundering, Proceeds of Crime and Terrorist Financing Act.</w:t>
      </w:r>
    </w:p>
    <w:p>
      <w:pPr>
        <w:pStyle w:val="ListParagraph"/>
        <w:numPr>
          <w:ilvl w:val="0"/>
          <w:numId w:val="2"/>
        </w:numPr>
        <w:spacing w:after="60" w:before="60"/>
      </w:pPr>
      <w:r>
        <w:rPr>
          <w:rFonts w:ascii="Arial" w:cs="Arial" w:eastAsia="Arial" w:hAnsi="Arial"/>
          <w:sz w:val="24"/>
          <w:szCs w:val="24"/>
        </w:rPr>
        <w:t xml:space="preserve">To implement an on-chain securities tokenisation mechanism in which approved securities are represented as digital tokens on the QBFT blockchain and trades are recorded immutably via a SecurityTokenRegistry smart contract.</w:t>
      </w:r>
    </w:p>
    <w:p>
      <w:pPr>
        <w:pStyle w:val="ListParagraph"/>
        <w:numPr>
          <w:ilvl w:val="0"/>
          <w:numId w:val="2"/>
        </w:numPr>
        <w:spacing w:after="60" w:before="60"/>
      </w:pPr>
      <w:r>
        <w:rPr>
          <w:rFonts w:ascii="Arial" w:cs="Arial" w:eastAsia="Arial" w:hAnsi="Arial"/>
          <w:sz w:val="24"/>
          <w:szCs w:val="24"/>
        </w:rPr>
        <w:t xml:space="preserve">To evaluate the system's functional correctness, transaction reliability, and architectural fitness for a production capital markets deployment.</w:t>
      </w:r>
    </w:p>
    <w:p>
      <w:pPr>
        <w:spacing w:after="160" w:before="0"/>
      </w:pPr>
    </w:p>
    <w:p>
      <w:pPr>
        <w:pStyle w:val="Heading2"/>
        <w:spacing w:after="100" w:before="320"/>
      </w:pPr>
      <w:r>
        <w:rPr>
          <w:rFonts w:ascii="Arial" w:cs="Arial" w:eastAsia="Arial" w:hAnsi="Arial"/>
          <w:b/>
          <w:bCs/>
          <w:color w:val="2E75B6"/>
          <w:sz w:val="28"/>
          <w:szCs w:val="28"/>
        </w:rPr>
        <w:t xml:space="preserve">1.4  Research Questions</w:t>
      </w:r>
    </w:p>
    <w:p>
      <w:pPr>
        <w:spacing w:after="120" w:before="80"/>
        <w:jc w:val="both"/>
      </w:pPr>
      <w:r>
        <w:rPr>
          <w:rFonts w:ascii="Arial" w:cs="Arial" w:eastAsia="Arial" w:hAnsi="Arial"/>
          <w:sz w:val="24"/>
          <w:szCs w:val="24"/>
        </w:rPr>
        <w:t xml:space="preserve">The research is guided by the following primary and secondary questions:</w:t>
      </w:r>
    </w:p>
    <w:p>
      <w:pPr>
        <w:spacing w:after="100" w:before="80"/>
        <w:jc w:val="both"/>
      </w:pPr>
      <w:r>
        <w:rPr>
          <w:rFonts w:ascii="Arial" w:cs="Arial" w:eastAsia="Arial" w:hAnsi="Arial"/>
          <w:b/>
          <w:bCs/>
          <w:sz w:val="24"/>
          <w:szCs w:val="24"/>
        </w:rPr>
        <w:t xml:space="preserve">Primary Question: </w:t>
      </w:r>
      <w:r>
        <w:rPr>
          <w:rFonts w:ascii="Arial" w:cs="Arial" w:eastAsia="Arial" w:hAnsi="Arial"/>
          <w:sz w:val="24"/>
          <w:szCs w:val="24"/>
        </w:rPr>
        <w:t xml:space="preserve">How can blockchain technology and modern web application frameworks be combined to create a functional, auditable digital securities market for a developing economy such as Lesotho?</w:t>
      </w:r>
    </w:p>
    <w:p>
      <w:pPr>
        <w:spacing w:after="120" w:before="80"/>
        <w:jc w:val="both"/>
      </w:pPr>
      <w:r>
        <w:rPr>
          <w:rFonts w:ascii="Arial" w:cs="Arial" w:eastAsia="Arial" w:hAnsi="Arial"/>
          <w:sz w:val="24"/>
          <w:szCs w:val="24"/>
        </w:rPr>
        <w:t xml:space="preserve">Secondary questions:</w:t>
      </w:r>
    </w:p>
    <w:p>
      <w:pPr>
        <w:pStyle w:val="ListParagraph"/>
        <w:numPr>
          <w:ilvl w:val="0"/>
          <w:numId w:val="3"/>
        </w:numPr>
        <w:spacing w:after="60" w:before="60"/>
      </w:pPr>
      <w:r>
        <w:rPr>
          <w:rFonts w:ascii="Arial" w:cs="Arial" w:eastAsia="Arial" w:hAnsi="Arial"/>
          <w:sz w:val="24"/>
          <w:szCs w:val="24"/>
        </w:rPr>
        <w:t xml:space="preserve">What architecture best supports the dual requirements of low-latency user interaction and immutable on-chain trade recording?</w:t>
      </w:r>
    </w:p>
    <w:p>
      <w:pPr>
        <w:pStyle w:val="ListParagraph"/>
        <w:numPr>
          <w:ilvl w:val="0"/>
          <w:numId w:val="3"/>
        </w:numPr>
        <w:spacing w:after="60" w:before="60"/>
      </w:pPr>
      <w:r>
        <w:rPr>
          <w:rFonts w:ascii="Arial" w:cs="Arial" w:eastAsia="Arial" w:hAnsi="Arial"/>
          <w:sz w:val="24"/>
          <w:szCs w:val="24"/>
        </w:rPr>
        <w:t xml:space="preserve">How should securities tokenisation be implemented on a permissioned QBFT blockchain to ensure token balances accurately reflect ownership?</w:t>
      </w:r>
    </w:p>
    <w:p>
      <w:pPr>
        <w:pStyle w:val="ListParagraph"/>
        <w:numPr>
          <w:ilvl w:val="0"/>
          <w:numId w:val="3"/>
        </w:numPr>
        <w:spacing w:after="60" w:before="60"/>
      </w:pPr>
      <w:r>
        <w:rPr>
          <w:rFonts w:ascii="Arial" w:cs="Arial" w:eastAsia="Arial" w:hAnsi="Arial"/>
          <w:sz w:val="24"/>
          <w:szCs w:val="24"/>
        </w:rPr>
        <w:t xml:space="preserve">What role-based access control model is appropriate for a multi-stakeholder capital market platform encompassing issuers, investors, brokers, regulators, and administrators?</w:t>
      </w:r>
    </w:p>
    <w:p>
      <w:pPr>
        <w:pStyle w:val="ListParagraph"/>
        <w:numPr>
          <w:ilvl w:val="0"/>
          <w:numId w:val="3"/>
        </w:numPr>
        <w:spacing w:after="60" w:before="60"/>
      </w:pPr>
      <w:r>
        <w:rPr>
          <w:rFonts w:ascii="Arial" w:cs="Arial" w:eastAsia="Arial" w:hAnsi="Arial"/>
          <w:sz w:val="24"/>
          <w:szCs w:val="24"/>
        </w:rPr>
        <w:t xml:space="preserve">How can a KYC workflow be designed that balances regulatory compliance with user experience in a low-bandwidth environment?</w:t>
      </w:r>
    </w:p>
    <w:p>
      <w:pPr>
        <w:pStyle w:val="ListParagraph"/>
        <w:numPr>
          <w:ilvl w:val="0"/>
          <w:numId w:val="3"/>
        </w:numPr>
        <w:spacing w:after="60" w:before="60"/>
      </w:pPr>
      <w:r>
        <w:rPr>
          <w:rFonts w:ascii="Arial" w:cs="Arial" w:eastAsia="Arial" w:hAnsi="Arial"/>
          <w:sz w:val="24"/>
          <w:szCs w:val="24"/>
        </w:rPr>
        <w:t xml:space="preserve">What performance and reliability characteristics are required for a minimum viable capital market, and how does the MDSM prototype compare against those benchmarks?</w:t>
      </w:r>
    </w:p>
    <w:p>
      <w:pPr>
        <w:spacing w:after="160" w:before="0"/>
      </w:pPr>
    </w:p>
    <w:p>
      <w:pPr>
        <w:pStyle w:val="Heading2"/>
        <w:spacing w:after="100" w:before="320"/>
      </w:pPr>
      <w:r>
        <w:rPr>
          <w:rFonts w:ascii="Arial" w:cs="Arial" w:eastAsia="Arial" w:hAnsi="Arial"/>
          <w:b/>
          <w:bCs/>
          <w:color w:val="2E75B6"/>
          <w:sz w:val="28"/>
          <w:szCs w:val="28"/>
        </w:rPr>
        <w:t xml:space="preserve">1.5  Significance of the Study</w:t>
      </w:r>
    </w:p>
    <w:p>
      <w:pPr>
        <w:spacing w:after="120" w:before="80"/>
        <w:jc w:val="both"/>
      </w:pPr>
      <w:r>
        <w:rPr>
          <w:rFonts w:ascii="Arial" w:cs="Arial" w:eastAsia="Arial" w:hAnsi="Arial"/>
          <w:sz w:val="24"/>
          <w:szCs w:val="24"/>
        </w:rPr>
        <w:t xml:space="preserve">This study makes contributions at three levels:</w:t>
      </w:r>
    </w:p>
    <w:p>
      <w:pPr>
        <w:pStyle w:val="Heading3"/>
        <w:spacing w:after="80" w:before="240"/>
      </w:pPr>
      <w:r>
        <w:rPr>
          <w:rFonts w:ascii="Arial" w:cs="Arial" w:eastAsia="Arial" w:hAnsi="Arial"/>
          <w:b/>
          <w:bCs/>
          <w:color w:val="1D6A3A"/>
          <w:sz w:val="24"/>
          <w:szCs w:val="24"/>
        </w:rPr>
        <w:t xml:space="preserve">1.5.1  Academic Contribution</w:t>
      </w:r>
    </w:p>
    <w:p>
      <w:pPr>
        <w:spacing w:after="120" w:before="80"/>
        <w:jc w:val="both"/>
      </w:pPr>
      <w:r>
        <w:rPr>
          <w:rFonts w:ascii="Arial" w:cs="Arial" w:eastAsia="Arial" w:hAnsi="Arial"/>
          <w:sz w:val="24"/>
          <w:szCs w:val="24"/>
        </w:rPr>
        <w:t xml:space="preserve">This research contributes a replicable design pattern for blockchain-integrated securities market platforms applicable to other developing economies without domestic exchanges. It extends the literature on permissioned blockchain applications in financial market infrastructure by providing a detailed implementation case study using Hyperledger Besu QBFT — a consensus mechanism chosen specifically for its deterministic finality, which is a regulatory requirement for securities settlement.</w:t>
      </w:r>
    </w:p>
    <w:p>
      <w:pPr>
        <w:pStyle w:val="Heading3"/>
        <w:spacing w:after="80" w:before="240"/>
      </w:pPr>
      <w:r>
        <w:rPr>
          <w:rFonts w:ascii="Arial" w:cs="Arial" w:eastAsia="Arial" w:hAnsi="Arial"/>
          <w:b/>
          <w:bCs/>
          <w:color w:val="1D6A3A"/>
          <w:sz w:val="24"/>
          <w:szCs w:val="24"/>
        </w:rPr>
        <w:t xml:space="preserve">1.5.2  Practical Contribution</w:t>
      </w:r>
    </w:p>
    <w:p>
      <w:pPr>
        <w:spacing w:after="120" w:before="80"/>
        <w:jc w:val="both"/>
      </w:pPr>
      <w:r>
        <w:rPr>
          <w:rFonts w:ascii="Arial" w:cs="Arial" w:eastAsia="Arial" w:hAnsi="Arial"/>
          <w:sz w:val="24"/>
          <w:szCs w:val="24"/>
        </w:rPr>
        <w:t xml:space="preserve">MDSM provides Lesotho's financial regulators and the Ministry of Finance with a working prototype that can serve as the technical foundation for a licensed digital securities exchange. The system is the first end-to-end implementation of a capital markets platform designed specifically for the Lesotho regulatory context.</w:t>
      </w:r>
    </w:p>
    <w:p>
      <w:pPr>
        <w:pStyle w:val="Heading3"/>
        <w:spacing w:after="80" w:before="240"/>
      </w:pPr>
      <w:r>
        <w:rPr>
          <w:rFonts w:ascii="Arial" w:cs="Arial" w:eastAsia="Arial" w:hAnsi="Arial"/>
          <w:b/>
          <w:bCs/>
          <w:color w:val="1D6A3A"/>
          <w:sz w:val="24"/>
          <w:szCs w:val="24"/>
        </w:rPr>
        <w:t xml:space="preserve">1.5.3  Economic Contribution</w:t>
      </w:r>
    </w:p>
    <w:p>
      <w:pPr>
        <w:spacing w:after="120" w:before="80"/>
        <w:jc w:val="both"/>
      </w:pPr>
      <w:r>
        <w:rPr>
          <w:rFonts w:ascii="Arial" w:cs="Arial" w:eastAsia="Arial" w:hAnsi="Arial"/>
          <w:sz w:val="24"/>
          <w:szCs w:val="24"/>
        </w:rPr>
        <w:t xml:space="preserve">A functioning domestic capital market would reduce Lesotho's dependence on South African financial markets, retain domestic investment capital, provide SME financing alternatives to bank debt, and create employment in financial services. The MDSM platform represents the first step toward realising these macroeconomic benefits.</w:t>
      </w:r>
    </w:p>
    <w:p>
      <w:pPr>
        <w:spacing w:after="160" w:before="0"/>
      </w:pPr>
    </w:p>
    <w:p>
      <w:pPr>
        <w:pStyle w:val="Heading2"/>
        <w:spacing w:after="100" w:before="320"/>
      </w:pPr>
      <w:r>
        <w:rPr>
          <w:rFonts w:ascii="Arial" w:cs="Arial" w:eastAsia="Arial" w:hAnsi="Arial"/>
          <w:b/>
          <w:bCs/>
          <w:color w:val="2E75B6"/>
          <w:sz w:val="28"/>
          <w:szCs w:val="28"/>
        </w:rPr>
        <w:t xml:space="preserve">1.6  Scope and Delimitations</w:t>
      </w:r>
    </w:p>
    <w:p>
      <w:pPr>
        <w:spacing w:after="120" w:before="80"/>
        <w:jc w:val="both"/>
      </w:pPr>
      <w:r>
        <w:rPr>
          <w:rFonts w:ascii="Arial" w:cs="Arial" w:eastAsia="Arial" w:hAnsi="Arial"/>
          <w:sz w:val="24"/>
          <w:szCs w:val="24"/>
        </w:rPr>
        <w:t xml:space="preserve">This research is delimited as follows:</w:t>
      </w:r>
    </w:p>
    <w:p>
      <w:pPr>
        <w:pStyle w:val="ListParagraph"/>
        <w:numPr>
          <w:ilvl w:val="0"/>
          <w:numId w:val="3"/>
        </w:numPr>
        <w:spacing w:after="60" w:before="60"/>
      </w:pPr>
      <w:r>
        <w:rPr>
          <w:rFonts w:ascii="Arial" w:cs="Arial" w:eastAsia="Arial" w:hAnsi="Arial"/>
          <w:sz w:val="24"/>
          <w:szCs w:val="24"/>
        </w:rPr>
        <w:t xml:space="preserve">Geographic scope: The platform is designed for the Lesotho market and is compliant with Lesotho's draft Capital Markets Bill and the Financial Institutions Act. It is not designed to be a multi-jurisdiction platform, though the architecture is extensible.</w:t>
      </w:r>
    </w:p>
    <w:p>
      <w:pPr>
        <w:pStyle w:val="ListParagraph"/>
        <w:numPr>
          <w:ilvl w:val="0"/>
          <w:numId w:val="3"/>
        </w:numPr>
        <w:spacing w:after="60" w:before="60"/>
      </w:pPr>
      <w:r>
        <w:rPr>
          <w:rFonts w:ascii="Arial" w:cs="Arial" w:eastAsia="Arial" w:hAnsi="Arial"/>
          <w:sz w:val="24"/>
          <w:szCs w:val="24"/>
        </w:rPr>
        <w:t xml:space="preserve">Instrument scope: MDSM supports equity securities and bond instruments. Derivatives, collective investment schemes, and Exchange-Traded Funds are identified as future work.</w:t>
      </w:r>
    </w:p>
    <w:p>
      <w:pPr>
        <w:pStyle w:val="ListParagraph"/>
        <w:numPr>
          <w:ilvl w:val="0"/>
          <w:numId w:val="3"/>
        </w:numPr>
        <w:spacing w:after="60" w:before="60"/>
      </w:pPr>
      <w:r>
        <w:rPr>
          <w:rFonts w:ascii="Arial" w:cs="Arial" w:eastAsia="Arial" w:hAnsi="Arial"/>
          <w:sz w:val="24"/>
          <w:szCs w:val="24"/>
        </w:rPr>
        <w:t xml:space="preserve">Settlement scope: The platform implements delivery-versus-payment (DvP) logic at the smart contract layer using on-chain token transfers. Cash settlement is simulated via wallet balances within the platform and does not integrate with the Lesotho banking system in this phase.</w:t>
      </w:r>
    </w:p>
    <w:p>
      <w:pPr>
        <w:pStyle w:val="ListParagraph"/>
        <w:numPr>
          <w:ilvl w:val="0"/>
          <w:numId w:val="3"/>
        </w:numPr>
        <w:spacing w:after="60" w:before="60"/>
      </w:pPr>
      <w:r>
        <w:rPr>
          <w:rFonts w:ascii="Arial" w:cs="Arial" w:eastAsia="Arial" w:hAnsi="Arial"/>
          <w:sz w:val="24"/>
          <w:szCs w:val="24"/>
        </w:rPr>
        <w:t xml:space="preserve">Testing scope: Testing is conducted in a controlled development environment using the QBFT private testnet. Live market stress testing with thousands of concurrent users is not within scope for this prototype phase.</w:t>
      </w:r>
    </w:p>
    <w:p>
      <w:pPr>
        <w:spacing w:after="160" w:before="0"/>
      </w:pPr>
    </w:p>
    <w:p>
      <w:pPr>
        <w:pStyle w:val="Heading2"/>
        <w:spacing w:after="100" w:before="320"/>
      </w:pPr>
      <w:r>
        <w:rPr>
          <w:rFonts w:ascii="Arial" w:cs="Arial" w:eastAsia="Arial" w:hAnsi="Arial"/>
          <w:b/>
          <w:bCs/>
          <w:color w:val="2E75B6"/>
          <w:sz w:val="28"/>
          <w:szCs w:val="28"/>
        </w:rPr>
        <w:t xml:space="preserve">1.7  Document Structure</w:t>
      </w:r>
    </w:p>
    <w:p>
      <w:pPr>
        <w:spacing w:after="120" w:before="80"/>
        <w:jc w:val="both"/>
      </w:pPr>
      <w:r>
        <w:rPr>
          <w:rFonts w:ascii="Arial" w:cs="Arial" w:eastAsia="Arial" w:hAnsi="Arial"/>
          <w:sz w:val="24"/>
          <w:szCs w:val="24"/>
        </w:rPr>
        <w:t xml:space="preserve">The remainder of this document is structured as follows:</w:t>
      </w:r>
    </w:p>
    <w:p>
      <w:pPr>
        <w:pStyle w:val="ListParagraph"/>
        <w:numPr>
          <w:ilvl w:val="0"/>
          <w:numId w:val="3"/>
        </w:numPr>
        <w:spacing w:after="60" w:before="60"/>
      </w:pPr>
      <w:r>
        <w:rPr>
          <w:rFonts w:ascii="Arial" w:cs="Arial" w:eastAsia="Arial" w:hAnsi="Arial"/>
          <w:sz w:val="24"/>
          <w:szCs w:val="24"/>
        </w:rPr>
        <w:t xml:space="preserve">Chapter 2 reviews the literature on capital markets in Sub-Saharan Africa, blockchain technology in financial infrastructure, securities tokenisation, and digital identity systems, establishing the theoretical and empirical basis for the MDSM design.</w:t>
      </w:r>
    </w:p>
    <w:p>
      <w:pPr>
        <w:pStyle w:val="ListParagraph"/>
        <w:numPr>
          <w:ilvl w:val="0"/>
          <w:numId w:val="3"/>
        </w:numPr>
        <w:spacing w:after="60" w:before="60"/>
      </w:pPr>
      <w:r>
        <w:rPr>
          <w:rFonts w:ascii="Arial" w:cs="Arial" w:eastAsia="Arial" w:hAnsi="Arial"/>
          <w:sz w:val="24"/>
          <w:szCs w:val="24"/>
        </w:rPr>
        <w:t xml:space="preserve">Chapter 3 presents the research methodology, describing the system development approach, technology selection rationale, testing strategy, and ethical considerations.</w:t>
      </w:r>
    </w:p>
    <w:p>
      <w:pPr>
        <w:pStyle w:val="ListParagraph"/>
        <w:numPr>
          <w:ilvl w:val="0"/>
          <w:numId w:val="3"/>
        </w:numPr>
        <w:spacing w:after="60" w:before="60"/>
      </w:pPr>
      <w:r>
        <w:rPr>
          <w:rFonts w:ascii="Arial" w:cs="Arial" w:eastAsia="Arial" w:hAnsi="Arial"/>
          <w:sz w:val="24"/>
          <w:szCs w:val="24"/>
        </w:rPr>
        <w:t xml:space="preserve">Chapter 4 details the technical implementation of MDSM, covering the full-stack architecture, smart contract design, database schema, authentication system, and role-based dashboards.</w:t>
      </w:r>
    </w:p>
    <w:p>
      <w:pPr>
        <w:pStyle w:val="ListParagraph"/>
        <w:numPr>
          <w:ilvl w:val="0"/>
          <w:numId w:val="3"/>
        </w:numPr>
        <w:spacing w:after="60" w:before="60"/>
      </w:pPr>
      <w:r>
        <w:rPr>
          <w:rFonts w:ascii="Arial" w:cs="Arial" w:eastAsia="Arial" w:hAnsi="Arial"/>
          <w:sz w:val="24"/>
          <w:szCs w:val="24"/>
        </w:rPr>
        <w:t xml:space="preserve">Chapter 5 presents recommendations for improving the current system and a roadmap for future enhancements aligned with production deployment requirements.</w:t>
      </w:r>
    </w:p>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il"/>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Chapter Summary</w:t>
            </w:r>
          </w:p>
          <w:p>
            <w:pPr>
              <w:spacing w:after="0" w:before="60"/>
              <w:jc w:val="both"/>
            </w:pPr>
            <w:r>
              <w:rPr>
                <w:rFonts w:ascii="Arial" w:cs="Arial" w:eastAsia="Arial" w:hAnsi="Arial"/>
                <w:sz w:val="22"/>
                <w:szCs w:val="22"/>
              </w:rPr>
              <w:t xml:space="preserve">This chapter established the context for the MDSM project: Lesotho lacks a domestic capital market, creating structural financing constraints and capital outflows. MDSM is proposed as a blockchain-integrated digital securities platform that addresses this gap. The chapter stated five specific research objectives, five research questions, and defined the scope of the study across geographic, instrument, settlement, and testing dimensions.</w:t>
            </w:r>
          </w:p>
        </w:tc>
      </w:tr>
    </w:tbl>
    <w:p>
      <w:pPr>
        <w:spacing w:after="80" w:before="0"/>
      </w:pPr>
    </w:p>
    <w:p>
      <w:r>
        <w:br w:type="page"/>
      </w:r>
    </w:p>
    <w:p>
      <w:pPr>
        <w:pStyle w:val="Heading1"/>
        <w:spacing w:after="120" w:before="480"/>
      </w:pPr>
      <w:r>
        <w:rPr>
          <w:rFonts w:ascii="Arial" w:cs="Arial" w:eastAsia="Arial" w:hAnsi="Arial"/>
          <w:b/>
          <w:bCs/>
          <w:color w:val="1F3864"/>
          <w:sz w:val="36"/>
          <w:szCs w:val="36"/>
        </w:rPr>
        <w:t xml:space="preserve">CHAPTER 2</w:t>
      </w:r>
    </w:p>
    <w:p>
      <w:pPr>
        <w:spacing w:after="200" w:before="0"/>
      </w:pPr>
      <w:r>
        <w:rPr>
          <w:rFonts w:ascii="Arial" w:cs="Arial" w:eastAsia="Arial" w:hAnsi="Arial"/>
          <w:b/>
          <w:bCs/>
          <w:color w:val="1F3864"/>
          <w:sz w:val="40"/>
          <w:szCs w:val="40"/>
        </w:rPr>
        <w:t xml:space="preserve">Literature Review</w:t>
      </w:r>
    </w:p>
    <w:p>
      <w:pPr>
        <w:pBdr>
          <w:bottom w:val="single" w:color="2E75B6" w:sz="6" w:space="1"/>
        </w:pBdr>
        <w:spacing w:after="0" w:before="0"/>
      </w:pPr>
    </w:p>
    <w:p>
      <w:pPr>
        <w:spacing w:after="80" w:before="0"/>
      </w:pPr>
    </w:p>
    <w:p>
      <w:pPr>
        <w:pStyle w:val="Heading2"/>
        <w:spacing w:after="100" w:before="320"/>
      </w:pPr>
      <w:r>
        <w:rPr>
          <w:rFonts w:ascii="Arial" w:cs="Arial" w:eastAsia="Arial" w:hAnsi="Arial"/>
          <w:b/>
          <w:bCs/>
          <w:color w:val="2E75B6"/>
          <w:sz w:val="28"/>
          <w:szCs w:val="28"/>
        </w:rPr>
        <w:t xml:space="preserve">2.1  Introduction</w:t>
      </w:r>
    </w:p>
    <w:p>
      <w:pPr>
        <w:spacing w:after="120" w:before="80"/>
        <w:jc w:val="both"/>
      </w:pPr>
      <w:r>
        <w:rPr>
          <w:rFonts w:ascii="Arial" w:cs="Arial" w:eastAsia="Arial" w:hAnsi="Arial"/>
          <w:sz w:val="24"/>
          <w:szCs w:val="24"/>
        </w:rPr>
        <w:t xml:space="preserve">This chapter surveys the existing body of knowledge relevant to the design and implementation of a digital securities market platform. It covers four principal domains: (1) the state of capital markets in Sub-Saharan Africa and Lesotho specifically; (2) blockchain technology and its application in financial market infrastructure; (3) smart contracts and securities tokenisation; and (4) digital identity, Know Your Customer (KYC) systems, and regulatory frameworks for digital assets. The chapter concludes with a synthesis of gaps in the existing literature that this research addresses.</w:t>
      </w:r>
    </w:p>
    <w:p>
      <w:pPr>
        <w:spacing w:after="160" w:before="0"/>
      </w:pPr>
    </w:p>
    <w:p>
      <w:pPr>
        <w:pStyle w:val="Heading2"/>
        <w:spacing w:after="100" w:before="320"/>
      </w:pPr>
      <w:r>
        <w:rPr>
          <w:rFonts w:ascii="Arial" w:cs="Arial" w:eastAsia="Arial" w:hAnsi="Arial"/>
          <w:b/>
          <w:bCs/>
          <w:color w:val="2E75B6"/>
          <w:sz w:val="28"/>
          <w:szCs w:val="28"/>
        </w:rPr>
        <w:t xml:space="preserve">2.2  Capital Markets in Sub-Saharan Africa</w:t>
      </w:r>
    </w:p>
    <w:p>
      <w:pPr>
        <w:pStyle w:val="Heading3"/>
        <w:spacing w:after="80" w:before="240"/>
      </w:pPr>
      <w:r>
        <w:rPr>
          <w:rFonts w:ascii="Arial" w:cs="Arial" w:eastAsia="Arial" w:hAnsi="Arial"/>
          <w:b/>
          <w:bCs/>
          <w:color w:val="1D6A3A"/>
          <w:sz w:val="24"/>
          <w:szCs w:val="24"/>
        </w:rPr>
        <w:t xml:space="preserve">2.2.1  Overview of African Securities Exchanges</w:t>
      </w:r>
    </w:p>
    <w:p>
      <w:pPr>
        <w:spacing w:after="120" w:before="80"/>
        <w:jc w:val="both"/>
      </w:pPr>
      <w:r>
        <w:rPr>
          <w:rFonts w:ascii="Arial" w:cs="Arial" w:eastAsia="Arial" w:hAnsi="Arial"/>
          <w:sz w:val="24"/>
          <w:szCs w:val="24"/>
        </w:rPr>
        <w:t xml:space="preserve">Sub-Saharan Africa hosts 29 securities exchanges, though market capitalisation, liquidity, and regulatory maturity vary dramatically across the continent. The Johannesburg Stock Exchange (JSE), established in 1887, is by far the largest and most sophisticated, with market capitalisation exceeding USD 1 trillion and listings from across the SADC region. The Nairobi Securities Exchange (NSE) and the Nigerian Stock Exchange (NGX) serve as regional anchors in East and West Africa respectively.</w:t>
      </w:r>
    </w:p>
    <w:p>
      <w:pPr>
        <w:spacing w:after="120" w:before="80"/>
        <w:jc w:val="both"/>
      </w:pPr>
      <w:r>
        <w:rPr>
          <w:rFonts w:ascii="Arial" w:cs="Arial" w:eastAsia="Arial" w:hAnsi="Arial"/>
          <w:sz w:val="24"/>
          <w:szCs w:val="24"/>
        </w:rPr>
        <w:t xml:space="preserve">However, the majority of sub-Saharan African exchanges are thin and illiquid. Irving (2005) documented that 14 of 19 African exchanges surveyed had annual turnover ratios below 5%, compared to over 100% for the NYSE. This illiquidity reflects small listing populations, concentrated ownership, and limited retail participation — structural factors that are especially pronounced in small landlocked economies like Lesotho.</w:t>
      </w:r>
    </w:p>
    <w:p>
      <w:pPr>
        <w:pStyle w:val="Heading3"/>
        <w:spacing w:after="80" w:before="240"/>
      </w:pPr>
      <w:r>
        <w:rPr>
          <w:rFonts w:ascii="Arial" w:cs="Arial" w:eastAsia="Arial" w:hAnsi="Arial"/>
          <w:b/>
          <w:bCs/>
          <w:color w:val="1D6A3A"/>
          <w:sz w:val="24"/>
          <w:szCs w:val="24"/>
        </w:rPr>
        <w:t xml:space="preserve">2.2.2  The Case of Lesotho</w:t>
      </w:r>
    </w:p>
    <w:p>
      <w:pPr>
        <w:spacing w:after="120" w:before="80"/>
        <w:jc w:val="both"/>
      </w:pPr>
      <w:r>
        <w:rPr>
          <w:rFonts w:ascii="Arial" w:cs="Arial" w:eastAsia="Arial" w:hAnsi="Arial"/>
          <w:sz w:val="24"/>
          <w:szCs w:val="24"/>
        </w:rPr>
        <w:t xml:space="preserve">Lesotho has no domestic securities exchange. The Central Bank of Lesotho (CBL) Act and the Financial Institutions Act 2012 provide a framework for banking regulation, but capital markets legislation remains at the draft stage as of 2024. The 2021 Capital Markets Bill proposes the establishment of a Capital Markets Authority (CMA) but does not specify the technical form of the exchange infrastructure.</w:t>
      </w:r>
    </w:p>
    <w:p>
      <w:pPr>
        <w:spacing w:after="120" w:before="80"/>
        <w:jc w:val="both"/>
      </w:pPr>
      <w:r>
        <w:rPr>
          <w:rFonts w:ascii="Arial" w:cs="Arial" w:eastAsia="Arial" w:hAnsi="Arial"/>
          <w:sz w:val="24"/>
          <w:szCs w:val="24"/>
        </w:rPr>
        <w:t xml:space="preserve">Nthebe and Motsoari (2019) identify three binding constraints on capital market development in Lesotho: (1) an insufficient number of listed companies to sustain exchange liquidity; (2) limited investor sophistication and savings mobilisation; and (3) the gravitational pull of the JSE, which absorbs Basotho institutional investment under the Common Monetary Area arrangement. Digital tokenisation and a lower-cost exchange infrastructure could address constraints 1 and 3 directly.</w:t>
      </w:r>
    </w:p>
    <w:p>
      <w:pPr>
        <w:spacing w:after="160" w:before="0"/>
      </w:pPr>
    </w:p>
    <w:p>
      <w:pPr>
        <w:pStyle w:val="Heading2"/>
        <w:spacing w:after="100" w:before="320"/>
      </w:pPr>
      <w:r>
        <w:rPr>
          <w:rFonts w:ascii="Arial" w:cs="Arial" w:eastAsia="Arial" w:hAnsi="Arial"/>
          <w:b/>
          <w:bCs/>
          <w:color w:val="2E75B6"/>
          <w:sz w:val="28"/>
          <w:szCs w:val="28"/>
        </w:rPr>
        <w:t xml:space="preserve">2.3  Blockchain Technology in Financial Market Infrastructure</w:t>
      </w:r>
    </w:p>
    <w:p>
      <w:pPr>
        <w:pStyle w:val="Heading3"/>
        <w:spacing w:after="80" w:before="240"/>
      </w:pPr>
      <w:r>
        <w:rPr>
          <w:rFonts w:ascii="Arial" w:cs="Arial" w:eastAsia="Arial" w:hAnsi="Arial"/>
          <w:b/>
          <w:bCs/>
          <w:color w:val="1D6A3A"/>
          <w:sz w:val="24"/>
          <w:szCs w:val="24"/>
        </w:rPr>
        <w:t xml:space="preserve">2.3.1  Blockchain Fundamentals</w:t>
      </w:r>
    </w:p>
    <w:p>
      <w:pPr>
        <w:spacing w:after="120" w:before="80"/>
        <w:jc w:val="both"/>
      </w:pPr>
      <w:r>
        <w:rPr>
          <w:rFonts w:ascii="Arial" w:cs="Arial" w:eastAsia="Arial" w:hAnsi="Arial"/>
          <w:sz w:val="24"/>
          <w:szCs w:val="24"/>
        </w:rPr>
        <w:t xml:space="preserve">A blockchain is an append-only distributed ledger in which transactions are grouped into cryptographically linked blocks and replicated across a network of nodes. Nakamoto (2008) introduced the concept in the context of a peer-to-peer electronic cash system. The key properties of blockchains relevant to financial markets are: immutability (confirmed transactions cannot be altered), transparency (all participants share the same ledger state), and programmability (smart contracts encode conditional transaction logic).</w:t>
      </w:r>
    </w:p>
    <w:p>
      <w:pPr>
        <w:pStyle w:val="Heading3"/>
        <w:spacing w:after="80" w:before="240"/>
      </w:pPr>
      <w:r>
        <w:rPr>
          <w:rFonts w:ascii="Arial" w:cs="Arial" w:eastAsia="Arial" w:hAnsi="Arial"/>
          <w:b/>
          <w:bCs/>
          <w:color w:val="1D6A3A"/>
          <w:sz w:val="24"/>
          <w:szCs w:val="24"/>
        </w:rPr>
        <w:t xml:space="preserve">2.3.2  Permissioned versus Permissionless Blockchains</w:t>
      </w:r>
    </w:p>
    <w:p>
      <w:pPr>
        <w:spacing w:after="120" w:before="80"/>
        <w:jc w:val="both"/>
      </w:pPr>
      <w:r>
        <w:rPr>
          <w:rFonts w:ascii="Arial" w:cs="Arial" w:eastAsia="Arial" w:hAnsi="Arial"/>
          <w:sz w:val="24"/>
          <w:szCs w:val="24"/>
        </w:rPr>
        <w:t xml:space="preserve">Financial market regulators have consistently distinguished between permissionless public blockchains (Bitcoin, Ethereum) and permissioned enterprise blockchains in which participation requires explicit authorisation. The Bank for International Settlements (BIS, 2017) noted that permissioned blockchains offer deterministic finality, access control, and governance mechanisms required for regulated settlement infrastructure — characteristics absent from proof-of-work chains.</w:t>
      </w:r>
    </w:p>
    <w:p>
      <w:pPr>
        <w:spacing w:after="120" w:before="80"/>
        <w:jc w:val="both"/>
      </w:pPr>
      <w:r>
        <w:rPr>
          <w:rFonts w:ascii="Arial" w:cs="Arial" w:eastAsia="Arial" w:hAnsi="Arial"/>
          <w:sz w:val="24"/>
          <w:szCs w:val="24"/>
        </w:rPr>
        <w:t xml:space="preserve">Hyperledger Besu, developed under the Linux Foundation's Hyperledger umbrella, supports the QBFT (Quorum Byzantine Fault Tolerant) consensus mechanism. QBFT provides immediate deterministic finality: once a block is confirmed by 2/3 + 1 of validators, it cannot be reorganised. This property is essential for securities settlement, where regulatory requirements mandate that a completed trade cannot be reversed (CSDR Article 7, EU 2014).</w:t>
      </w:r>
    </w:p>
    <w:p>
      <w:pPr>
        <w:pStyle w:val="Heading3"/>
        <w:spacing w:after="80" w:before="240"/>
      </w:pPr>
      <w:r>
        <w:rPr>
          <w:rFonts w:ascii="Arial" w:cs="Arial" w:eastAsia="Arial" w:hAnsi="Arial"/>
          <w:b/>
          <w:bCs/>
          <w:color w:val="1D6A3A"/>
          <w:sz w:val="24"/>
          <w:szCs w:val="24"/>
        </w:rPr>
        <w:t xml:space="preserve">2.3.3  DLT Applications in Securities Markets</w:t>
      </w:r>
    </w:p>
    <w:p>
      <w:pPr>
        <w:spacing w:after="120" w:before="80"/>
        <w:jc w:val="both"/>
      </w:pPr>
      <w:r>
        <w:rPr>
          <w:rFonts w:ascii="Arial" w:cs="Arial" w:eastAsia="Arial" w:hAnsi="Arial"/>
          <w:sz w:val="24"/>
          <w:szCs w:val="24"/>
        </w:rPr>
        <w:t xml:space="preserve">The application of DLT to securities market infrastructure has been extensively studied. The Australian Securities Exchange (ASX) undertook a seven-year project to replace its CHESS settlement system with a DLT-based alternative (ASX, 2023), ultimately halting the project, a cautionary tale about the complexity of full exchange replacement. More successful applications have been greenfield deployments: the SIX Digital Exchange (SDX) in Switzerland operates as the world's first regulated DLT-based securities exchange, having settled CHF 130 million in digital bonds by 2023 (SIX Group, 2023).</w:t>
      </w:r>
    </w:p>
    <w:p>
      <w:pPr>
        <w:spacing w:after="120" w:before="80"/>
        <w:jc w:val="both"/>
      </w:pPr>
      <w:r>
        <w:rPr>
          <w:rFonts w:ascii="Arial" w:cs="Arial" w:eastAsia="Arial" w:hAnsi="Arial"/>
          <w:sz w:val="24"/>
          <w:szCs w:val="24"/>
        </w:rPr>
        <w:t xml:space="preserve">The World Bank's blockchain bond issuance (Bond-i, 2018) and the Hong Kong Monetary Authority's Project Evergreen (2022) demonstrate that government securities tokenisation is technically mature and can be implemented on permissioned chains with regulatory oversight. These precedents are directly relevant to MDSM's proposed tokenisation of Lesotho Government Securities as future work.</w:t>
      </w:r>
    </w:p>
    <w:p>
      <w:pPr>
        <w:spacing w:after="160" w:before="0"/>
      </w:pPr>
    </w:p>
    <w:p>
      <w:pPr>
        <w:pStyle w:val="Heading2"/>
        <w:spacing w:after="100" w:before="320"/>
      </w:pPr>
      <w:r>
        <w:rPr>
          <w:rFonts w:ascii="Arial" w:cs="Arial" w:eastAsia="Arial" w:hAnsi="Arial"/>
          <w:b/>
          <w:bCs/>
          <w:color w:val="2E75B6"/>
          <w:sz w:val="28"/>
          <w:szCs w:val="28"/>
        </w:rPr>
        <w:t xml:space="preserve">2.4  Smart Contracts and Securities Tokenisation</w:t>
      </w:r>
    </w:p>
    <w:p>
      <w:pPr>
        <w:pStyle w:val="Heading3"/>
        <w:spacing w:after="80" w:before="240"/>
      </w:pPr>
      <w:r>
        <w:rPr>
          <w:rFonts w:ascii="Arial" w:cs="Arial" w:eastAsia="Arial" w:hAnsi="Arial"/>
          <w:b/>
          <w:bCs/>
          <w:color w:val="1D6A3A"/>
          <w:sz w:val="24"/>
          <w:szCs w:val="24"/>
        </w:rPr>
        <w:t xml:space="preserve">2.4.1  Smart Contract Architecture for Securities</w:t>
      </w:r>
    </w:p>
    <w:p>
      <w:pPr>
        <w:spacing w:after="120" w:before="80"/>
        <w:jc w:val="both"/>
      </w:pPr>
      <w:r>
        <w:rPr>
          <w:rFonts w:ascii="Arial" w:cs="Arial" w:eastAsia="Arial" w:hAnsi="Arial"/>
          <w:sz w:val="24"/>
          <w:szCs w:val="24"/>
        </w:rPr>
        <w:t xml:space="preserve">Buterin (2013) introduced Ethereum's smart contract model, in which arbitrary computation can be encoded as self-executing code deployed on the blockchain. For securities markets, smart contracts replace the clearing and settlement intermediary: the contract atomically transfers tokens from seller to buyer contingent on payment confirmation, eliminating settlement risk.</w:t>
      </w:r>
    </w:p>
    <w:p>
      <w:pPr>
        <w:spacing w:after="120" w:before="80"/>
        <w:jc w:val="both"/>
      </w:pPr>
      <w:r>
        <w:rPr>
          <w:rFonts w:ascii="Arial" w:cs="Arial" w:eastAsia="Arial" w:hAnsi="Arial"/>
          <w:sz w:val="24"/>
          <w:szCs w:val="24"/>
        </w:rPr>
        <w:t xml:space="preserve">The ERC-20 token standard (Vogelsteller and Buterin, 2015) established the canonical interface for fungible tokens on Ethereum. However, securities tokenisation imposes additional requirements beyond simple transfer: access control (only authorised issuers may mint), compliance hooks (transfer restrictions for non-KYC investors), and auditability (every transfer must generate a permanent record). The ERC-1400 and ERC-3643 (T-REX) standards extend ERC-20 to meet these requirements.</w:t>
      </w:r>
    </w:p>
    <w:p>
      <w:pPr>
        <w:spacing w:after="120" w:before="80"/>
        <w:jc w:val="both"/>
      </w:pPr>
      <w:r>
        <w:rPr>
          <w:rFonts w:ascii="Arial" w:cs="Arial" w:eastAsia="Arial" w:hAnsi="Arial"/>
          <w:sz w:val="24"/>
          <w:szCs w:val="24"/>
        </w:rPr>
        <w:t xml:space="preserve">The MDSM SecurityTokenRegistry contract adopts the core ERC-20 concepts (mint, transfer, balance tracking) adapted for a QBFT permissioned chain where gas costs are zero and the minter role is controlled by the backend signer rather than a decentralised governance token.</w:t>
      </w:r>
    </w:p>
    <w:p>
      <w:pPr>
        <w:pStyle w:val="Heading3"/>
        <w:spacing w:after="80" w:before="240"/>
      </w:pPr>
      <w:r>
        <w:rPr>
          <w:rFonts w:ascii="Arial" w:cs="Arial" w:eastAsia="Arial" w:hAnsi="Arial"/>
          <w:b/>
          <w:bCs/>
          <w:color w:val="1D6A3A"/>
          <w:sz w:val="24"/>
          <w:szCs w:val="24"/>
        </w:rPr>
        <w:t xml:space="preserve">2.4.2  Token Lifecycle: Issuance, Transfer, and Settlement</w:t>
      </w:r>
    </w:p>
    <w:p>
      <w:pPr>
        <w:spacing w:after="120" w:before="80"/>
        <w:jc w:val="both"/>
      </w:pPr>
      <w:r>
        <w:rPr>
          <w:rFonts w:ascii="Arial" w:cs="Arial" w:eastAsia="Arial" w:hAnsi="Arial"/>
          <w:sz w:val="24"/>
          <w:szCs w:val="24"/>
        </w:rPr>
        <w:t xml:space="preserve">Pinna and Ruttenberg (2016, ECB) describe the token lifecycle in a DLT securities system as comprising four phases: issuance (minting tokens to the issuer's address), primary distribution (transfer from issuer to investors), secondary trading (investor-to-investor transfers via the exchange), and redemption (burning tokens at maturity). The MDSM system implements the first three phases; redemption is identified as future work.</w:t>
      </w:r>
    </w:p>
    <w:p>
      <w:pPr>
        <w:spacing w:after="160" w:before="0"/>
      </w:pPr>
    </w:p>
    <w:p>
      <w:pPr>
        <w:pStyle w:val="Heading2"/>
        <w:spacing w:after="100" w:before="320"/>
      </w:pPr>
      <w:r>
        <w:rPr>
          <w:rFonts w:ascii="Arial" w:cs="Arial" w:eastAsia="Arial" w:hAnsi="Arial"/>
          <w:b/>
          <w:bCs/>
          <w:color w:val="2E75B6"/>
          <w:sz w:val="28"/>
          <w:szCs w:val="28"/>
        </w:rPr>
        <w:t xml:space="preserve">2.5  Digital Identity, KYC, and AML Compliance</w:t>
      </w:r>
    </w:p>
    <w:p>
      <w:pPr>
        <w:pStyle w:val="Heading3"/>
        <w:spacing w:after="80" w:before="240"/>
      </w:pPr>
      <w:r>
        <w:rPr>
          <w:rFonts w:ascii="Arial" w:cs="Arial" w:eastAsia="Arial" w:hAnsi="Arial"/>
          <w:b/>
          <w:bCs/>
          <w:color w:val="1D6A3A"/>
          <w:sz w:val="24"/>
          <w:szCs w:val="24"/>
        </w:rPr>
        <w:t xml:space="preserve">2.5.1  KYC Requirements in Capital Markets</w:t>
      </w:r>
    </w:p>
    <w:p>
      <w:pPr>
        <w:spacing w:after="120" w:before="80"/>
        <w:jc w:val="both"/>
      </w:pPr>
      <w:r>
        <w:rPr>
          <w:rFonts w:ascii="Arial" w:cs="Arial" w:eastAsia="Arial" w:hAnsi="Arial"/>
          <w:sz w:val="24"/>
          <w:szCs w:val="24"/>
        </w:rPr>
        <w:t xml:space="preserve">Financial Action Task Force (FATF) Recommendation 10 requires financial institutions to identify and verify customer identity before establishing a business relationship. For capital markets, this translates into the KYC process: collecting identity documents, verifying their authenticity, and assessing the customer's risk profile. In digital platforms, KYC workflows must balance thoroughness (to satisfy regulators) with friction (to retain users).</w:t>
      </w:r>
    </w:p>
    <w:p>
      <w:pPr>
        <w:spacing w:after="120" w:before="80"/>
        <w:jc w:val="both"/>
      </w:pPr>
      <w:r>
        <w:rPr>
          <w:rFonts w:ascii="Arial" w:cs="Arial" w:eastAsia="Arial" w:hAnsi="Arial"/>
          <w:sz w:val="24"/>
          <w:szCs w:val="24"/>
        </w:rPr>
        <w:t xml:space="preserve">The Lesotho Money Laundering, Proceeds of Crime and Terrorist Financing Act (2008, amended 2022) imposes customer due diligence obligations on financial service providers equivalent to FATF standards. Any regulated MDSM deployment must comply with these obligations before allowing investors to transact.</w:t>
      </w:r>
    </w:p>
    <w:p>
      <w:pPr>
        <w:pStyle w:val="Heading3"/>
        <w:spacing w:after="80" w:before="240"/>
      </w:pPr>
      <w:r>
        <w:rPr>
          <w:rFonts w:ascii="Arial" w:cs="Arial" w:eastAsia="Arial" w:hAnsi="Arial"/>
          <w:b/>
          <w:bCs/>
          <w:color w:val="1D6A3A"/>
          <w:sz w:val="24"/>
          <w:szCs w:val="24"/>
        </w:rPr>
        <w:t xml:space="preserve">2.5.2  Digital KYC Technologies</w:t>
      </w:r>
    </w:p>
    <w:p>
      <w:pPr>
        <w:spacing w:after="120" w:before="80"/>
        <w:jc w:val="both"/>
      </w:pPr>
      <w:r>
        <w:rPr>
          <w:rFonts w:ascii="Arial" w:cs="Arial" w:eastAsia="Arial" w:hAnsi="Arial"/>
          <w:sz w:val="24"/>
          <w:szCs w:val="24"/>
        </w:rPr>
        <w:t xml:space="preserve">Emerging KYC technologies reduce both cost and turnaround time. Automated document verification systems (e.g., Onfido, Smile Identity) use computer vision and liveness detection to verify government-issued identity documents in under two minutes. Decentralised identity (DID) standards (W3C DID 1.0, 2022) allow KYC credentials to be issued once and reused across multiple service providers, reducing repetitive verification burden.</w:t>
      </w:r>
    </w:p>
    <w:p>
      <w:pPr>
        <w:spacing w:after="120" w:before="80"/>
        <w:jc w:val="both"/>
      </w:pPr>
      <w:r>
        <w:rPr>
          <w:rFonts w:ascii="Arial" w:cs="Arial" w:eastAsia="Arial" w:hAnsi="Arial"/>
          <w:sz w:val="24"/>
          <w:szCs w:val="24"/>
        </w:rPr>
        <w:t xml:space="preserve">The MDSM KYC implementation uses document upload and manual regulator review in the current prototype. The transition to automated verification is identified as a priority recommendation in Chapter 5.</w:t>
      </w:r>
    </w:p>
    <w:p>
      <w:pPr>
        <w:spacing w:after="160" w:before="0"/>
      </w:pPr>
    </w:p>
    <w:p>
      <w:pPr>
        <w:pStyle w:val="Heading2"/>
        <w:spacing w:after="100" w:before="320"/>
      </w:pPr>
      <w:r>
        <w:rPr>
          <w:rFonts w:ascii="Arial" w:cs="Arial" w:eastAsia="Arial" w:hAnsi="Arial"/>
          <w:b/>
          <w:bCs/>
          <w:color w:val="2E75B6"/>
          <w:sz w:val="28"/>
          <w:szCs w:val="28"/>
        </w:rPr>
        <w:t xml:space="preserve">2.6  Comparative Analysis of Existing Systems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Platform</w:t>
            </w:r>
          </w:p>
        </w:tc>
        <w:tc>
          <w:tcPr>
            <w:tcW w:type="dxa" w:w="29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Technology Stack</w:t>
            </w:r>
          </w:p>
        </w:tc>
        <w:tc>
          <w:tcPr>
            <w:tcW w:type="dxa" w:w="298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Relevance to MDSM</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SIX Digital Exchange (SDX)</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DLT (Corda R3), regulated</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Gold standard; proves institutional DLT settlement is viable</w:t>
            </w:r>
          </w:p>
        </w:tc>
      </w:tr>
      <w:tr>
        <w:trPr>
          <w:tblHeader w:val="false"/>
        </w:trPr>
        <w:tc>
          <w:tcPr>
            <w:tcW w:type="dxa" w:w="34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Nairobi Securities Exchange</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Automated trading, CBS settlement</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Comparator: largest East African exchange; no blockchain layer</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JSE (South Africa)</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Millennium IT, SWIFT</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Regional hegemon; MDSM aims to complement, not compete</w:t>
            </w:r>
          </w:p>
        </w:tc>
      </w:tr>
      <w:tr>
        <w:trPr>
          <w:tblHeader w:val="false"/>
        </w:trPr>
        <w:tc>
          <w:tcPr>
            <w:tcW w:type="dxa" w:w="34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Bond-i (World Bank)</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Ethereum (private)</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Proves government bond tokenisation on permissioned chain</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ADDX (Singapore)</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Private blockchain</w:t>
            </w:r>
          </w:p>
        </w:tc>
        <w:tc>
          <w:tcPr>
            <w:tcW w:type="dxa" w:w="29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Private markets exchange; fractional ownership model</w:t>
            </w:r>
          </w:p>
        </w:tc>
      </w:tr>
      <w:tr>
        <w:trPr>
          <w:tblHeader w:val="false"/>
        </w:trPr>
        <w:tc>
          <w:tcPr>
            <w:tcW w:type="dxa" w:w="34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Taurus Exchange (CH)</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Hyperledger Besu</w:t>
            </w:r>
          </w:p>
        </w:tc>
        <w:tc>
          <w:tcPr>
            <w:tcW w:type="dxa" w:w="298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Direct technical comparator; same QBFT stack as MDSM</w:t>
            </w:r>
          </w:p>
        </w:tc>
      </w:tr>
    </w:tbl>
    <w:p>
      <w:pPr>
        <w:spacing w:after="160" w:before="0"/>
      </w:pPr>
    </w:p>
    <w:p>
      <w:pPr>
        <w:pStyle w:val="Heading2"/>
        <w:spacing w:after="100" w:before="320"/>
      </w:pPr>
      <w:r>
        <w:rPr>
          <w:rFonts w:ascii="Arial" w:cs="Arial" w:eastAsia="Arial" w:hAnsi="Arial"/>
          <w:b/>
          <w:bCs/>
          <w:color w:val="2E75B6"/>
          <w:sz w:val="28"/>
          <w:szCs w:val="28"/>
        </w:rPr>
        <w:t xml:space="preserve">2.7  Theoretical Framework</w:t>
      </w:r>
    </w:p>
    <w:p>
      <w:pPr>
        <w:spacing w:after="120" w:before="80"/>
        <w:jc w:val="both"/>
      </w:pPr>
      <w:r>
        <w:rPr>
          <w:rFonts w:ascii="Arial" w:cs="Arial" w:eastAsia="Arial" w:hAnsi="Arial"/>
          <w:sz w:val="24"/>
          <w:szCs w:val="24"/>
        </w:rPr>
        <w:t xml:space="preserve">This research is grounded in three theoretical constructs:</w:t>
      </w:r>
    </w:p>
    <w:p>
      <w:pPr>
        <w:pStyle w:val="Heading3"/>
        <w:spacing w:after="80" w:before="240"/>
      </w:pPr>
      <w:r>
        <w:rPr>
          <w:rFonts w:ascii="Arial" w:cs="Arial" w:eastAsia="Arial" w:hAnsi="Arial"/>
          <w:b/>
          <w:bCs/>
          <w:color w:val="1D6A3A"/>
          <w:sz w:val="24"/>
          <w:szCs w:val="24"/>
        </w:rPr>
        <w:t xml:space="preserve">2.7.1  Financial Market Microstructure Theory</w:t>
      </w:r>
    </w:p>
    <w:p>
      <w:pPr>
        <w:spacing w:after="120" w:before="80"/>
        <w:jc w:val="both"/>
      </w:pPr>
      <w:r>
        <w:rPr>
          <w:rFonts w:ascii="Arial" w:cs="Arial" w:eastAsia="Arial" w:hAnsi="Arial"/>
          <w:sz w:val="24"/>
          <w:szCs w:val="24"/>
        </w:rPr>
        <w:t xml:space="preserve">O'Hara (1995) defines market microstructure as the study of the process and outcomes of exchanging assets under explicit trading rules. MDSM's order book design — with limit orders, market orders, price-time priority matching, and best-execution obligations for brokers — is directly informed by microstructure principles. The theory of informed trading (Kyle, 1985) informs the design of pre-trade transparency (order book depth) and post-trade reporting (trade tape).</w:t>
      </w:r>
    </w:p>
    <w:p>
      <w:pPr>
        <w:pStyle w:val="Heading3"/>
        <w:spacing w:after="80" w:before="240"/>
      </w:pPr>
      <w:r>
        <w:rPr>
          <w:rFonts w:ascii="Arial" w:cs="Arial" w:eastAsia="Arial" w:hAnsi="Arial"/>
          <w:b/>
          <w:bCs/>
          <w:color w:val="1D6A3A"/>
          <w:sz w:val="24"/>
          <w:szCs w:val="24"/>
        </w:rPr>
        <w:t xml:space="preserve">2.7.2  Technology Acceptance Model (TAM)</w:t>
      </w:r>
    </w:p>
    <w:p>
      <w:pPr>
        <w:spacing w:after="120" w:before="80"/>
        <w:jc w:val="both"/>
      </w:pPr>
      <w:r>
        <w:rPr>
          <w:rFonts w:ascii="Arial" w:cs="Arial" w:eastAsia="Arial" w:hAnsi="Arial"/>
          <w:sz w:val="24"/>
          <w:szCs w:val="24"/>
        </w:rPr>
        <w:t xml:space="preserve">Davis (1989) proposes that perceived usefulness and perceived ease of use are the primary determinants of technology adoption. MDSM's UX design — dark/light theme, role-specific dashboards, simplified KYC onboarding — directly targets these constructs to maximise adoption among Lesotho's nascent investor population, many of whom will be first-time capital market participants.</w:t>
      </w:r>
    </w:p>
    <w:p>
      <w:pPr>
        <w:pStyle w:val="Heading3"/>
        <w:spacing w:after="80" w:before="240"/>
      </w:pPr>
      <w:r>
        <w:rPr>
          <w:rFonts w:ascii="Arial" w:cs="Arial" w:eastAsia="Arial" w:hAnsi="Arial"/>
          <w:b/>
          <w:bCs/>
          <w:color w:val="1D6A3A"/>
          <w:sz w:val="24"/>
          <w:szCs w:val="24"/>
        </w:rPr>
        <w:t xml:space="preserve">2.7.3  Institutional Theory of Market Development</w:t>
      </w:r>
    </w:p>
    <w:p>
      <w:pPr>
        <w:spacing w:after="120" w:before="80"/>
        <w:jc w:val="both"/>
      </w:pPr>
      <w:r>
        <w:rPr>
          <w:rFonts w:ascii="Arial" w:cs="Arial" w:eastAsia="Arial" w:hAnsi="Arial"/>
          <w:sz w:val="24"/>
          <w:szCs w:val="24"/>
        </w:rPr>
        <w:t xml:space="preserve">North (1990) argues that formal institutions (laws, regulations, exchanges) reduce transaction costs and uncertainty, enabling market growth. The absence of such institutions in Lesotho's capital market is a key motivation for MDSM. The platform is designed as an institutional artefact — creating the formal rules, roles, and enforcement mechanisms that a capital market requires.</w:t>
      </w:r>
    </w:p>
    <w:p>
      <w:pPr>
        <w:spacing w:after="160" w:before="0"/>
      </w:pPr>
    </w:p>
    <w:p>
      <w:pPr>
        <w:pStyle w:val="Heading2"/>
        <w:spacing w:after="100" w:before="320"/>
      </w:pPr>
      <w:r>
        <w:rPr>
          <w:rFonts w:ascii="Arial" w:cs="Arial" w:eastAsia="Arial" w:hAnsi="Arial"/>
          <w:b/>
          <w:bCs/>
          <w:color w:val="2E75B6"/>
          <w:sz w:val="28"/>
          <w:szCs w:val="28"/>
        </w:rPr>
        <w:t xml:space="preserve">2.8  Gap Analysis and Research Positioning</w:t>
      </w:r>
    </w:p>
    <w:p>
      <w:pPr>
        <w:spacing w:after="120" w:before="80"/>
        <w:jc w:val="both"/>
      </w:pPr>
      <w:r>
        <w:rPr>
          <w:rFonts w:ascii="Arial" w:cs="Arial" w:eastAsia="Arial" w:hAnsi="Arial"/>
          <w:sz w:val="24"/>
          <w:szCs w:val="24"/>
        </w:rPr>
        <w:t xml:space="preserve">The literature review reveals the following gaps that this research addresses:</w:t>
      </w:r>
    </w:p>
    <w:p>
      <w:pPr>
        <w:pStyle w:val="ListParagraph"/>
        <w:numPr>
          <w:ilvl w:val="0"/>
          <w:numId w:val="3"/>
        </w:numPr>
        <w:spacing w:after="60" w:before="60"/>
      </w:pPr>
      <w:r>
        <w:rPr>
          <w:rFonts w:ascii="Arial" w:cs="Arial" w:eastAsia="Arial" w:hAnsi="Arial"/>
          <w:sz w:val="24"/>
          <w:szCs w:val="24"/>
        </w:rPr>
        <w:t xml:space="preserve">No prior work documents the end-to-end design of a blockchain-integrated capital market platform for a sub-Saharan African economy without an existing exchange. Prior case studies (SDX, Bond-i) operate in mature regulatory environments with existing intermediary infrastructure.</w:t>
      </w:r>
    </w:p>
    <w:p>
      <w:pPr>
        <w:pStyle w:val="ListParagraph"/>
        <w:numPr>
          <w:ilvl w:val="0"/>
          <w:numId w:val="3"/>
        </w:numPr>
        <w:spacing w:after="60" w:before="60"/>
      </w:pPr>
      <w:r>
        <w:rPr>
          <w:rFonts w:ascii="Arial" w:cs="Arial" w:eastAsia="Arial" w:hAnsi="Arial"/>
          <w:sz w:val="24"/>
          <w:szCs w:val="24"/>
        </w:rPr>
        <w:t xml:space="preserve">Existing literature on Hyperledger Besu in financial applications focuses on interbank settlement (Project Dunbar) rather than retail-accessible securities markets. MDSM extends Besu application to the retail brokerage and investor onboarding context.</w:t>
      </w:r>
    </w:p>
    <w:p>
      <w:pPr>
        <w:pStyle w:val="ListParagraph"/>
        <w:numPr>
          <w:ilvl w:val="0"/>
          <w:numId w:val="3"/>
        </w:numPr>
        <w:spacing w:after="60" w:before="60"/>
      </w:pPr>
      <w:r>
        <w:rPr>
          <w:rFonts w:ascii="Arial" w:cs="Arial" w:eastAsia="Arial" w:hAnsi="Arial"/>
          <w:sz w:val="24"/>
          <w:szCs w:val="24"/>
        </w:rPr>
        <w:t xml:space="preserve">The combination of Next.js App Router server-side rendering with a QBFT private chain and Supabase PostgreSQL has not been documented as a securities platform architecture. This paper contributes that architectural pattern.</w:t>
      </w:r>
    </w:p>
    <w:p>
      <w:pPr>
        <w:pStyle w:val="ListParagraph"/>
        <w:numPr>
          <w:ilvl w:val="0"/>
          <w:numId w:val="3"/>
        </w:numPr>
        <w:spacing w:after="60" w:before="60"/>
      </w:pPr>
      <w:r>
        <w:rPr>
          <w:rFonts w:ascii="Arial" w:cs="Arial" w:eastAsia="Arial" w:hAnsi="Arial"/>
          <w:sz w:val="24"/>
          <w:szCs w:val="24"/>
        </w:rPr>
        <w:t xml:space="preserve">KYC workflow design for capital markets in SADC countries with limited automated verification infrastructure is underdocumented. MDSM's manual-review-first approach with a migration path to automated verification contributes a practical model.</w:t>
      </w:r>
    </w:p>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il"/>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Chapter Summary</w:t>
            </w:r>
          </w:p>
          <w:p>
            <w:pPr>
              <w:spacing w:after="0" w:before="60"/>
              <w:jc w:val="both"/>
            </w:pPr>
            <w:r>
              <w:rPr>
                <w:rFonts w:ascii="Arial" w:cs="Arial" w:eastAsia="Arial" w:hAnsi="Arial"/>
                <w:sz w:val="22"/>
                <w:szCs w:val="22"/>
              </w:rPr>
              <w:t xml:space="preserve">This chapter reviewed literature across four domains: capital market development in Sub-Saharan Africa (establishing Lesotho's structural gap); blockchain and DLT in financial infrastructure (establishing QBFT as appropriate for regulated settlement); smart contracts and tokenisation (grounding the SecurityTokenRegistry design); and KYC/AML compliance (informing the MDSM onboarding workflow). A comparative analysis of existing platforms positioned MDSM relative to peers, and a gap analysis identified the novel contributions of this research.</w:t>
            </w:r>
          </w:p>
        </w:tc>
      </w:tr>
    </w:tbl>
    <w:p>
      <w:pPr>
        <w:spacing w:after="80" w:before="0"/>
      </w:pPr>
    </w:p>
    <w:p>
      <w:r>
        <w:br w:type="page"/>
      </w:r>
    </w:p>
    <w:p>
      <w:pPr>
        <w:pStyle w:val="Heading1"/>
        <w:spacing w:after="120" w:before="480"/>
      </w:pPr>
      <w:r>
        <w:rPr>
          <w:rFonts w:ascii="Arial" w:cs="Arial" w:eastAsia="Arial" w:hAnsi="Arial"/>
          <w:b/>
          <w:bCs/>
          <w:color w:val="1F3864"/>
          <w:sz w:val="36"/>
          <w:szCs w:val="36"/>
        </w:rPr>
        <w:t xml:space="preserve">CHAPTER 3</w:t>
      </w:r>
    </w:p>
    <w:p>
      <w:pPr>
        <w:spacing w:after="200" w:before="0"/>
      </w:pPr>
      <w:r>
        <w:rPr>
          <w:rFonts w:ascii="Arial" w:cs="Arial" w:eastAsia="Arial" w:hAnsi="Arial"/>
          <w:b/>
          <w:bCs/>
          <w:color w:val="1F3864"/>
          <w:sz w:val="40"/>
          <w:szCs w:val="40"/>
        </w:rPr>
        <w:t xml:space="preserve">Research Methodology</w:t>
      </w:r>
    </w:p>
    <w:p>
      <w:pPr>
        <w:pBdr>
          <w:bottom w:val="single" w:color="2E75B6" w:sz="6" w:space="1"/>
        </w:pBdr>
        <w:spacing w:after="0" w:before="0"/>
      </w:pPr>
    </w:p>
    <w:p>
      <w:pPr>
        <w:spacing w:after="80" w:before="0"/>
      </w:pPr>
    </w:p>
    <w:p>
      <w:pPr>
        <w:pStyle w:val="Heading2"/>
        <w:spacing w:after="100" w:before="320"/>
      </w:pPr>
      <w:r>
        <w:rPr>
          <w:rFonts w:ascii="Arial" w:cs="Arial" w:eastAsia="Arial" w:hAnsi="Arial"/>
          <w:b/>
          <w:bCs/>
          <w:color w:val="2E75B6"/>
          <w:sz w:val="28"/>
          <w:szCs w:val="28"/>
        </w:rPr>
        <w:t xml:space="preserve">3.1  Introduction</w:t>
      </w:r>
    </w:p>
    <w:p>
      <w:pPr>
        <w:spacing w:after="120" w:before="80"/>
        <w:jc w:val="both"/>
      </w:pPr>
      <w:r>
        <w:rPr>
          <w:rFonts w:ascii="Arial" w:cs="Arial" w:eastAsia="Arial" w:hAnsi="Arial"/>
          <w:sz w:val="24"/>
          <w:szCs w:val="24"/>
        </w:rPr>
        <w:t xml:space="preserve">This chapter describes the methodological approach adopted for the design, development, and evaluation of the Maseru Digital Securities Market. Given that this research produces a software artefact (the MDSM platform), a Design Science Research (DSR) paradigm is most appropriate. This chapter explains the choice of DSR, the Agile system development methodology used within that paradigm, the rationale for each key technology selection, the testing strategy, and the ethical considerations that governed the research.</w:t>
      </w:r>
    </w:p>
    <w:p>
      <w:pPr>
        <w:spacing w:after="160" w:before="0"/>
      </w:pPr>
    </w:p>
    <w:p>
      <w:pPr>
        <w:pStyle w:val="Heading2"/>
        <w:spacing w:after="100" w:before="320"/>
      </w:pPr>
      <w:r>
        <w:rPr>
          <w:rFonts w:ascii="Arial" w:cs="Arial" w:eastAsia="Arial" w:hAnsi="Arial"/>
          <w:b/>
          <w:bCs/>
          <w:color w:val="2E75B6"/>
          <w:sz w:val="28"/>
          <w:szCs w:val="28"/>
        </w:rPr>
        <w:t xml:space="preserve">3.2  Research Design: Design Science Research</w:t>
      </w:r>
    </w:p>
    <w:p>
      <w:pPr>
        <w:spacing w:after="120" w:before="80"/>
        <w:jc w:val="both"/>
      </w:pPr>
      <w:r>
        <w:rPr>
          <w:rFonts w:ascii="Arial" w:cs="Arial" w:eastAsia="Arial" w:hAnsi="Arial"/>
          <w:sz w:val="24"/>
          <w:szCs w:val="24"/>
        </w:rPr>
        <w:t xml:space="preserve">Hevner et al. (2004) define Design Science Research (DSR) as a research paradigm in which a useful artefact is created and rigorously evaluated to solve an identified organisational problem. DSR is distinguished from purely empirical research by its emphasis on artefact utility: the primary research output is not a statistical finding but a working system that demonstrably solves the stated problem.</w:t>
      </w:r>
    </w:p>
    <w:p>
      <w:pPr>
        <w:spacing w:after="120" w:before="80"/>
        <w:jc w:val="both"/>
      </w:pPr>
      <w:r>
        <w:rPr>
          <w:rFonts w:ascii="Arial" w:cs="Arial" w:eastAsia="Arial" w:hAnsi="Arial"/>
          <w:sz w:val="24"/>
          <w:szCs w:val="24"/>
        </w:rPr>
        <w:t xml:space="preserve">DSR is appropriate for this project because: (1) MDSM is a novel artefact — no prior system addresses Lesotho's capital market gap; (2) the artefact can be rigorously evaluated against functional and non-functional requirements; and (3) the design decisions made during development contribute knowledge applicable to comparable contexts in other developing economies.</w:t>
      </w:r>
    </w:p>
    <w:p>
      <w:pPr>
        <w:spacing w:after="120" w:before="80"/>
        <w:jc w:val="both"/>
      </w:pPr>
      <w:r>
        <w:rPr>
          <w:rFonts w:ascii="Arial" w:cs="Arial" w:eastAsia="Arial" w:hAnsi="Arial"/>
          <w:sz w:val="24"/>
          <w:szCs w:val="24"/>
        </w:rPr>
        <w:t xml:space="preserve">Peffers et al. (2007) propose a six-step DSR methodology: problem identification, objective definition, design and development, demonstration, evaluation, and communication. This project follows that cycle, with Chapters 1–2 covering problem identification and objectives, Chapter 3 covering methodology, Chapter 4 covering design, development, and demonstration, and Chapter 5 covering evaluation-linked recommendations.</w:t>
      </w:r>
    </w:p>
    <w:p>
      <w:pPr>
        <w:spacing w:after="160" w:before="0"/>
      </w:pPr>
    </w:p>
    <w:p>
      <w:pPr>
        <w:pStyle w:val="Heading2"/>
        <w:spacing w:after="100" w:before="320"/>
      </w:pPr>
      <w:r>
        <w:rPr>
          <w:rFonts w:ascii="Arial" w:cs="Arial" w:eastAsia="Arial" w:hAnsi="Arial"/>
          <w:b/>
          <w:bCs/>
          <w:color w:val="2E75B6"/>
          <w:sz w:val="28"/>
          <w:szCs w:val="28"/>
        </w:rPr>
        <w:t xml:space="preserve">3.3  System Development Methodology</w:t>
      </w:r>
    </w:p>
    <w:p>
      <w:pPr>
        <w:pStyle w:val="Heading3"/>
        <w:spacing w:after="80" w:before="240"/>
      </w:pPr>
      <w:r>
        <w:rPr>
          <w:rFonts w:ascii="Arial" w:cs="Arial" w:eastAsia="Arial" w:hAnsi="Arial"/>
          <w:b/>
          <w:bCs/>
          <w:color w:val="1D6A3A"/>
          <w:sz w:val="24"/>
          <w:szCs w:val="24"/>
        </w:rPr>
        <w:t xml:space="preserve">3.3.1  Agile Development with Feature-Based Sprints</w:t>
      </w:r>
    </w:p>
    <w:p>
      <w:pPr>
        <w:spacing w:after="120" w:before="80"/>
        <w:jc w:val="both"/>
      </w:pPr>
      <w:r>
        <w:rPr>
          <w:rFonts w:ascii="Arial" w:cs="Arial" w:eastAsia="Arial" w:hAnsi="Arial"/>
          <w:sz w:val="24"/>
          <w:szCs w:val="24"/>
        </w:rPr>
        <w:t xml:space="preserve">Within the DSR framework, system development was conducted using an Agile approach with two-week sprints, each targeting a coherent feature slice. This was appropriate for a single-developer project where requirements evolved as the blockchain and frontend layers were integrated. The sprint backlog was managed using a task board with four states: Backlog, In Progress, Review, Done.</w:t>
      </w:r>
    </w:p>
    <w:p>
      <w:pPr>
        <w:spacing w:after="120" w:before="80"/>
        <w:jc w:val="both"/>
      </w:pPr>
      <w:r>
        <w:rPr>
          <w:rFonts w:ascii="Arial" w:cs="Arial" w:eastAsia="Arial" w:hAnsi="Arial"/>
          <w:sz w:val="24"/>
          <w:szCs w:val="24"/>
        </w:rPr>
        <w:t xml:space="preserve">Sprint 1 established the infrastructure: Docker-composed QBFT blockchain, Supabase database schema, Next.js project scaffold, and authentication routes. Subsequent sprints incrementally added KYC, securities management, order book, trade recording, and role-specific dashboards. Each sprint concluded with a functional demonstration against acceptance criteria.</w:t>
      </w:r>
    </w:p>
    <w:p>
      <w:pPr>
        <w:pStyle w:val="Heading3"/>
        <w:spacing w:after="80" w:before="240"/>
      </w:pPr>
      <w:r>
        <w:rPr>
          <w:rFonts w:ascii="Arial" w:cs="Arial" w:eastAsia="Arial" w:hAnsi="Arial"/>
          <w:b/>
          <w:bCs/>
          <w:color w:val="1D6A3A"/>
          <w:sz w:val="24"/>
          <w:szCs w:val="24"/>
        </w:rPr>
        <w:t xml:space="preserve">3.3.2  Continuous Integration Approach</w:t>
      </w:r>
    </w:p>
    <w:p>
      <w:pPr>
        <w:spacing w:after="120" w:before="80"/>
        <w:jc w:val="both"/>
      </w:pPr>
      <w:r>
        <w:rPr>
          <w:rFonts w:ascii="Arial" w:cs="Arial" w:eastAsia="Arial" w:hAnsi="Arial"/>
          <w:sz w:val="24"/>
          <w:szCs w:val="24"/>
        </w:rPr>
        <w:t xml:space="preserve">A production build verification step (pnpm build) was run at the completion of each significant change. This ensured that architectural decisions — middleware migration from middleware.js to proxy.js, db.js pool refactoring, smart contract ABI updates — did not break the application. No automated test suite was configured (a limitation acknowledged in Chapter 5), but manual end-to-end testing of each role's dashboard was performed after every sprint.</w:t>
      </w:r>
    </w:p>
    <w:p>
      <w:pPr>
        <w:spacing w:after="160" w:before="0"/>
      </w:pPr>
    </w:p>
    <w:p>
      <w:pPr>
        <w:pStyle w:val="Heading2"/>
        <w:spacing w:after="100" w:before="320"/>
      </w:pPr>
      <w:r>
        <w:rPr>
          <w:rFonts w:ascii="Arial" w:cs="Arial" w:eastAsia="Arial" w:hAnsi="Arial"/>
          <w:b/>
          <w:bCs/>
          <w:color w:val="2E75B6"/>
          <w:sz w:val="28"/>
          <w:szCs w:val="28"/>
        </w:rPr>
        <w:t xml:space="preserve">3.4  Technology Selection Rationale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36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Selected Technology</w:t>
            </w:r>
          </w:p>
        </w:tc>
        <w:tc>
          <w:tcPr>
            <w:tcW w:type="dxa" w:w="3800"/>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tcPr>
          <w:p>
            <w:r>
              <w:rPr>
                <w:rFonts w:ascii="Arial" w:cs="Arial" w:eastAsia="Arial" w:hAnsi="Arial"/>
                <w:b/>
                <w:bCs/>
                <w:color w:val="FFFFFF"/>
                <w:sz w:val="20"/>
                <w:szCs w:val="20"/>
              </w:rPr>
              <w:t xml:space="preserve">Rationale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Frontend Framework</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Next.js 16 (App Router)</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Server components + client interactivity; built-in API routes; ISR caching; strong TypeScript/JS ecosystem</w:t>
            </w:r>
          </w:p>
        </w:tc>
      </w:tr>
      <w:tr>
        <w:trPr>
          <w:tblHeader w:val="false"/>
        </w:trPr>
        <w:tc>
          <w:tcPr>
            <w:tcW w:type="dxa" w:w="22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Blockchain</w:t>
            </w:r>
          </w:p>
        </w:tc>
        <w:tc>
          <w:tcPr>
            <w:tcW w:type="dxa" w:w="336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Hyperledger Besu QBFT</w:t>
            </w:r>
          </w:p>
        </w:tc>
        <w:tc>
          <w:tcPr>
            <w:tcW w:type="dxa" w:w="38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Permissioned; deterministic finality (no forks); zero gas-price support; EVM-compatible smart contracts; production-ready Docker deployment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Database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Supabase PostgreSQL</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Managed PG with row-level security, storage (KYC docs), and REST API; transaction-mode pooler for serverless compatibility</w:t>
            </w:r>
          </w:p>
        </w:tc>
      </w:tr>
      <w:tr>
        <w:trPr>
          <w:tblHeader w:val="false"/>
        </w:trPr>
        <w:tc>
          <w:tcPr>
            <w:tcW w:type="dxa" w:w="22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Smart Contracts</w:t>
            </w:r>
          </w:p>
        </w:tc>
        <w:tc>
          <w:tcPr>
            <w:tcW w:type="dxa" w:w="336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Solidity on Besu EVM</w:t>
            </w:r>
          </w:p>
        </w:tc>
        <w:tc>
          <w:tcPr>
            <w:tcW w:type="dxa" w:w="38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EVM compatibility allows standard Solidity tooling (Hardhat, ethers.js); no new language learning required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UI Component Library</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Shadcn/ui + Radix + Tailwind</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Accessible headless primitives; Tailwind utility-first CSS; dark/light theme via CSS custom properties</w:t>
            </w:r>
          </w:p>
        </w:tc>
      </w:tr>
      <w:tr>
        <w:trPr>
          <w:tblHeader w:val="false"/>
        </w:trPr>
        <w:tc>
          <w:tcPr>
            <w:tcW w:type="dxa" w:w="22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Authentication</w:t>
            </w:r>
          </w:p>
        </w:tc>
        <w:tc>
          <w:tcPr>
            <w:tcW w:type="dxa" w:w="336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JWT + httpOnly Cookie</w:t>
            </w:r>
          </w:p>
        </w:tc>
        <w:tc>
          <w:tcPr>
            <w:tcW w:type="dxa" w:w="38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Bearer tokens for API routes; session cookie for SSR middleware; bcryptjs for password hashing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Container Orchestration</w:t>
            </w:r>
          </w:p>
        </w:tc>
        <w:tc>
          <w:tcPr>
            <w:tcW w:type="dxa" w:w="3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Docker Compose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000000"/>
                <w:sz w:val="20"/>
                <w:szCs w:val="20"/>
              </w:rPr>
              <w:t xml:space="preserve">Reproducible multi-service deployment; explicit network bridging between blockchain and Next.js containers</w:t>
            </w:r>
          </w:p>
        </w:tc>
      </w:tr>
      <w:tr>
        <w:trPr>
          <w:tblHeader w:val="false"/>
        </w:trPr>
        <w:tc>
          <w:tcPr>
            <w:tcW w:type="dxa" w:w="22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Blockchain Client Library</w:t>
            </w:r>
          </w:p>
        </w:tc>
        <w:tc>
          <w:tcPr>
            <w:tcW w:type="dxa" w:w="336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ethers.js v6</w:t>
            </w:r>
          </w:p>
        </w:tc>
        <w:tc>
          <w:tcPr>
            <w:tcW w:type="dxa" w:w="3800"/>
            <w:tcBorders>
              <w:top w:val="single" w:color="CCCCCC" w:sz="1"/>
              <w:left w:val="single" w:color="CCCCCC" w:sz="1"/>
              <w:bottom w:val="single" w:color="CCCCCC" w:sz="1"/>
              <w:right w:val="single" w:color="CCCCCC" w:sz="1"/>
            </w:tcBorders>
            <w:shd w:fill="F5F9FF" w:val="clear"/>
            <w:tcMar>
              <w:top w:type="dxa" w:w="90"/>
              <w:left w:type="dxa" w:w="130"/>
              <w:bottom w:type="dxa" w:w="90"/>
              <w:right w:type="dxa" w:w="130"/>
            </w:tcMar>
          </w:tcPr>
          <w:p>
            <w:r>
              <w:rPr>
                <w:rFonts w:ascii="Arial" w:cs="Arial" w:eastAsia="Arial" w:hAnsi="Arial"/>
                <w:b w:val="false"/>
                <w:bCs w:val="false"/>
                <w:color w:val="000000"/>
                <w:sz w:val="20"/>
                <w:szCs w:val="20"/>
              </w:rPr>
              <w:t xml:space="preserve">Industry-standard EVM client; typed ABI interfaces; JsonRpcProvider with staticNetwork for deterministic chain ID</w:t>
            </w:r>
          </w:p>
        </w:tc>
      </w:tr>
    </w:tbl>
    <w:p>
      <w:pPr>
        <w:spacing w:after="160" w:before="0"/>
      </w:pPr>
    </w:p>
    <w:p>
      <w:pPr>
        <w:pStyle w:val="Heading2"/>
        <w:spacing w:after="100" w:before="320"/>
      </w:pPr>
      <w:r>
        <w:rPr>
          <w:rFonts w:ascii="Arial" w:cs="Arial" w:eastAsia="Arial" w:hAnsi="Arial"/>
          <w:b/>
          <w:bCs/>
          <w:color w:val="2E75B6"/>
          <w:sz w:val="28"/>
          <w:szCs w:val="28"/>
        </w:rPr>
        <w:t xml:space="preserve">3.5  System Architecture Overview</w:t>
      </w:r>
    </w:p>
    <w:p>
      <w:pPr>
        <w:spacing w:after="120" w:before="80"/>
        <w:jc w:val="both"/>
      </w:pPr>
      <w:r>
        <w:rPr>
          <w:rFonts w:ascii="Arial" w:cs="Arial" w:eastAsia="Arial" w:hAnsi="Arial"/>
          <w:sz w:val="24"/>
          <w:szCs w:val="24"/>
        </w:rPr>
        <w:t xml:space="preserve">The MDSM architecture follows a three-tier model: presentation tier (Next.js React components), application/API tier (Next.js API routes and Server Actions), and data tier (Supabase PostgreSQL + Hyperledger Besu QBFT). The three tiers communicate as follows:</w:t>
      </w:r>
    </w:p>
    <w:p>
      <w:pPr>
        <w:pStyle w:val="ListParagraph"/>
        <w:numPr>
          <w:ilvl w:val="0"/>
          <w:numId w:val="3"/>
        </w:numPr>
        <w:spacing w:after="60" w:before="60"/>
      </w:pPr>
      <w:r>
        <w:rPr>
          <w:rFonts w:ascii="Arial" w:cs="Arial" w:eastAsia="Arial" w:hAnsi="Arial"/>
          <w:sz w:val="24"/>
          <w:szCs w:val="24"/>
        </w:rPr>
        <w:t xml:space="preserve">Client-side React components make authenticated fetch calls to Next.js API routes using JWT bearer tokens stored in localStorage.</w:t>
      </w:r>
    </w:p>
    <w:p>
      <w:pPr>
        <w:pStyle w:val="ListParagraph"/>
        <w:numPr>
          <w:ilvl w:val="0"/>
          <w:numId w:val="3"/>
        </w:numPr>
        <w:spacing w:after="60" w:before="60"/>
      </w:pPr>
      <w:r>
        <w:rPr>
          <w:rFonts w:ascii="Arial" w:cs="Arial" w:eastAsia="Arial" w:hAnsi="Arial"/>
          <w:sz w:val="24"/>
          <w:szCs w:val="24"/>
        </w:rPr>
        <w:t xml:space="preserve">API routes validate tokens, execute business logic, and read/write to PostgreSQL via a pg.Pool singleton (lib/db.js). Heavy read queries are wrapped in unstable_cache for stale-while-revalidate caching.</w:t>
      </w:r>
    </w:p>
    <w:p>
      <w:pPr>
        <w:pStyle w:val="ListParagraph"/>
        <w:numPr>
          <w:ilvl w:val="0"/>
          <w:numId w:val="3"/>
        </w:numPr>
        <w:spacing w:after="60" w:before="60"/>
      </w:pPr>
      <w:r>
        <w:rPr>
          <w:rFonts w:ascii="Arial" w:cs="Arial" w:eastAsia="Arial" w:hAnsi="Arial"/>
          <w:sz w:val="24"/>
          <w:szCs w:val="24"/>
        </w:rPr>
        <w:t xml:space="preserve">Trade execution API routes additionally submit transactions to the QBFT blockchain via ethers.js (lib/blockchain/recordTrade.js). The smart contract executes token transfers and emits TradeExecuted events that are stored on-chain permanently.</w:t>
      </w:r>
    </w:p>
    <w:p>
      <w:pPr>
        <w:pStyle w:val="ListParagraph"/>
        <w:numPr>
          <w:ilvl w:val="0"/>
          <w:numId w:val="3"/>
        </w:numPr>
        <w:spacing w:after="60" w:before="60"/>
      </w:pPr>
      <w:r>
        <w:rPr>
          <w:rFonts w:ascii="Arial" w:cs="Arial" w:eastAsia="Arial" w:hAnsi="Arial"/>
          <w:sz w:val="24"/>
          <w:szCs w:val="24"/>
        </w:rPr>
        <w:t xml:space="preserve">The Next.js proxy.js (replacing the deprecated middleware.js) runs at the Edge before each request, enforcing authentication (user_session cookie) and KYC status checks before allowing access to /dashboards and /kyc routes.</w:t>
      </w:r>
    </w:p>
    <w:p>
      <w:pPr>
        <w:spacing w:after="160" w:before="0"/>
      </w:pPr>
    </w:p>
    <w:p>
      <w:pPr>
        <w:pStyle w:val="Heading2"/>
        <w:spacing w:after="100" w:before="320"/>
      </w:pPr>
      <w:r>
        <w:rPr>
          <w:rFonts w:ascii="Arial" w:cs="Arial" w:eastAsia="Arial" w:hAnsi="Arial"/>
          <w:b/>
          <w:bCs/>
          <w:color w:val="2E75B6"/>
          <w:sz w:val="28"/>
          <w:szCs w:val="28"/>
        </w:rPr>
        <w:t xml:space="preserve">3.6  Database Design Approach</w:t>
      </w:r>
    </w:p>
    <w:p>
      <w:pPr>
        <w:spacing w:after="120" w:before="80"/>
        <w:jc w:val="both"/>
      </w:pPr>
      <w:r>
        <w:rPr>
          <w:rFonts w:ascii="Arial" w:cs="Arial" w:eastAsia="Arial" w:hAnsi="Arial"/>
          <w:sz w:val="24"/>
          <w:szCs w:val="24"/>
        </w:rPr>
        <w:t xml:space="preserve">The database schema was designed using an entity-relationship approach, with the following principal entities: users, roles, securities, issuers, orders, trades, trade_clearings, onchain_trade_records, kyc_documents, wallets, and audit_logs. Key design decisions include:</w:t>
      </w:r>
    </w:p>
    <w:p>
      <w:pPr>
        <w:pStyle w:val="ListParagraph"/>
        <w:numPr>
          <w:ilvl w:val="0"/>
          <w:numId w:val="3"/>
        </w:numPr>
        <w:spacing w:after="60" w:before="60"/>
      </w:pPr>
      <w:r>
        <w:rPr>
          <w:rFonts w:ascii="Arial" w:cs="Arial" w:eastAsia="Arial" w:hAnsi="Arial"/>
          <w:sz w:val="24"/>
          <w:szCs w:val="24"/>
        </w:rPr>
        <w:t xml:space="preserve">Separation of users from roles via a role_id foreign key, allowing role reassignment without data migration.</w:t>
      </w:r>
    </w:p>
    <w:p>
      <w:pPr>
        <w:pStyle w:val="ListParagraph"/>
        <w:numPr>
          <w:ilvl w:val="0"/>
          <w:numId w:val="3"/>
        </w:numPr>
        <w:spacing w:after="60" w:before="60"/>
      </w:pPr>
      <w:r>
        <w:rPr>
          <w:rFonts w:ascii="Arial" w:cs="Arial" w:eastAsia="Arial" w:hAnsi="Arial"/>
          <w:sz w:val="24"/>
          <w:szCs w:val="24"/>
        </w:rPr>
        <w:t xml:space="preserve">The trade_clearings table for limit order book fills, separate from the trades table for market order executions. This allows different settlement logic and on-chain recording paths for each trade type.</w:t>
      </w:r>
    </w:p>
    <w:p>
      <w:pPr>
        <w:pStyle w:val="ListParagraph"/>
        <w:numPr>
          <w:ilvl w:val="0"/>
          <w:numId w:val="3"/>
        </w:numPr>
        <w:spacing w:after="60" w:before="60"/>
      </w:pPr>
      <w:r>
        <w:rPr>
          <w:rFonts w:ascii="Arial" w:cs="Arial" w:eastAsia="Arial" w:hAnsi="Arial"/>
          <w:sz w:val="24"/>
          <w:szCs w:val="24"/>
        </w:rPr>
        <w:t xml:space="preserve">The onchain_trade_records table stores the blockchain transaction hash, block number, and confirmation status for every trade. This provides an off-chain index of on-chain records, enabling fast dashboard queries without calling the blockchain RPC for each display.</w:t>
      </w:r>
    </w:p>
    <w:p>
      <w:pPr>
        <w:pStyle w:val="ListParagraph"/>
        <w:numPr>
          <w:ilvl w:val="0"/>
          <w:numId w:val="3"/>
        </w:numPr>
        <w:spacing w:after="60" w:before="60"/>
      </w:pPr>
      <w:r>
        <w:rPr>
          <w:rFonts w:ascii="Arial" w:cs="Arial" w:eastAsia="Arial" w:hAnsi="Arial"/>
          <w:sz w:val="24"/>
          <w:szCs w:val="24"/>
        </w:rPr>
        <w:t xml:space="preserve">Supabase Storage (S3-compatible) for KYC document files. Document metadata (file path, upload timestamp, verification status) is stored in the kyc_documents table; binary file data is stored in the Supabase documents bucket.</w:t>
      </w:r>
    </w:p>
    <w:p>
      <w:pPr>
        <w:spacing w:after="160" w:before="0"/>
      </w:pPr>
    </w:p>
    <w:p>
      <w:pPr>
        <w:pStyle w:val="Heading2"/>
        <w:spacing w:after="100" w:before="320"/>
      </w:pPr>
      <w:r>
        <w:rPr>
          <w:rFonts w:ascii="Arial" w:cs="Arial" w:eastAsia="Arial" w:hAnsi="Arial"/>
          <w:b/>
          <w:bCs/>
          <w:color w:val="2E75B6"/>
          <w:sz w:val="28"/>
          <w:szCs w:val="28"/>
        </w:rPr>
        <w:t xml:space="preserve">3.7  Smart Contract Design</w:t>
      </w:r>
    </w:p>
    <w:p>
      <w:pPr>
        <w:spacing w:after="120" w:before="80"/>
        <w:jc w:val="both"/>
      </w:pPr>
      <w:r>
        <w:rPr>
          <w:rFonts w:ascii="Arial" w:cs="Arial" w:eastAsia="Arial" w:hAnsi="Arial"/>
          <w:sz w:val="24"/>
          <w:szCs w:val="24"/>
        </w:rPr>
        <w:t xml:space="preserve">The SecurityTokenRegistry smart contract was designed as a single-contract registry managing multiple securities. Each security is identified by a uint256 securityId matching the PostgreSQL securities.id. The contract maintains:</w:t>
      </w:r>
    </w:p>
    <w:p>
      <w:pPr>
        <w:pStyle w:val="ListParagraph"/>
        <w:numPr>
          <w:ilvl w:val="0"/>
          <w:numId w:val="3"/>
        </w:numPr>
        <w:spacing w:after="60" w:before="60"/>
      </w:pPr>
      <w:r>
        <w:rPr>
          <w:rFonts w:ascii="Arial" w:cs="Arial" w:eastAsia="Arial" w:hAnsi="Arial"/>
          <w:sz w:val="24"/>
          <w:szCs w:val="24"/>
        </w:rPr>
        <w:t xml:space="preserve">A balances mapping: balances[securityId][holderAddress] =&gt; uint256, tracking each holder's token balance per security.</w:t>
      </w:r>
    </w:p>
    <w:p>
      <w:pPr>
        <w:pStyle w:val="ListParagraph"/>
        <w:numPr>
          <w:ilvl w:val="0"/>
          <w:numId w:val="3"/>
        </w:numPr>
        <w:spacing w:after="60" w:before="60"/>
      </w:pPr>
      <w:r>
        <w:rPr>
          <w:rFonts w:ascii="Arial" w:cs="Arial" w:eastAsia="Arial" w:hAnsi="Arial"/>
          <w:sz w:val="24"/>
          <w:szCs w:val="24"/>
        </w:rPr>
        <w:t xml:space="preserve">A holders array per security for enumeration (required for dividend distribution in future work).</w:t>
      </w:r>
    </w:p>
    <w:p>
      <w:pPr>
        <w:pStyle w:val="ListParagraph"/>
        <w:numPr>
          <w:ilvl w:val="0"/>
          <w:numId w:val="3"/>
        </w:numPr>
        <w:spacing w:after="60" w:before="60"/>
      </w:pPr>
      <w:r>
        <w:rPr>
          <w:rFonts w:ascii="Arial" w:cs="Arial" w:eastAsia="Arial" w:hAnsi="Arial"/>
          <w:sz w:val="24"/>
          <w:szCs w:val="24"/>
        </w:rPr>
        <w:t xml:space="preserve">A trades mapping: trades[tradeId] =&gt; TradeRecord, providing immutable on-chain audit records for every executed trade.</w:t>
      </w:r>
    </w:p>
    <w:p>
      <w:pPr>
        <w:pStyle w:val="ListParagraph"/>
        <w:numPr>
          <w:ilvl w:val="0"/>
          <w:numId w:val="3"/>
        </w:numPr>
        <w:spacing w:after="60" w:before="60"/>
      </w:pPr>
      <w:r>
        <w:rPr>
          <w:rFonts w:ascii="Arial" w:cs="Arial" w:eastAsia="Arial" w:hAnsi="Arial"/>
          <w:sz w:val="24"/>
          <w:szCs w:val="24"/>
        </w:rPr>
        <w:t xml:space="preserve">Role-based access: only addresses in the minters mapping (controlled by the contract owner) may call mintSecurity and executeTrade.</w:t>
      </w:r>
    </w:p>
    <w:p>
      <w:pPr>
        <w:spacing w:after="120" w:before="80"/>
        <w:jc w:val="both"/>
      </w:pPr>
      <w:r>
        <w:rPr>
          <w:rFonts w:ascii="Arial" w:cs="Arial" w:eastAsia="Arial" w:hAnsi="Arial"/>
          <w:sz w:val="24"/>
          <w:szCs w:val="24"/>
        </w:rPr>
        <w:t xml:space="preserve">The contract exposes two execution paths: executeTrade (atomic token transfer + trade record) for fully on-chain settlements, and recordTrade (audit record only, no token transfer) for fallback cases where token balance resolution fails. The fallback path ensures that every trade always has an on-chain audit record, even if the token transfer cannot be completed.</w:t>
      </w:r>
    </w:p>
    <w:p>
      <w:pPr>
        <w:spacing w:after="160" w:before="0"/>
      </w:pPr>
    </w:p>
    <w:p>
      <w:pPr>
        <w:pStyle w:val="Heading2"/>
        <w:spacing w:after="100" w:before="320"/>
      </w:pPr>
      <w:r>
        <w:rPr>
          <w:rFonts w:ascii="Arial" w:cs="Arial" w:eastAsia="Arial" w:hAnsi="Arial"/>
          <w:b/>
          <w:bCs/>
          <w:color w:val="2E75B6"/>
          <w:sz w:val="28"/>
          <w:szCs w:val="28"/>
        </w:rPr>
        <w:t xml:space="preserve">3.8  Testing Strategy</w:t>
      </w:r>
    </w:p>
    <w:p>
      <w:pPr>
        <w:pStyle w:val="Heading3"/>
        <w:spacing w:after="80" w:before="240"/>
      </w:pPr>
      <w:r>
        <w:rPr>
          <w:rFonts w:ascii="Arial" w:cs="Arial" w:eastAsia="Arial" w:hAnsi="Arial"/>
          <w:b/>
          <w:bCs/>
          <w:color w:val="1D6A3A"/>
          <w:sz w:val="24"/>
          <w:szCs w:val="24"/>
        </w:rPr>
        <w:t xml:space="preserve">3.8.1  Unit-Level Testing</w:t>
      </w:r>
    </w:p>
    <w:p>
      <w:pPr>
        <w:spacing w:after="120" w:before="80"/>
        <w:jc w:val="both"/>
      </w:pPr>
      <w:r>
        <w:rPr>
          <w:rFonts w:ascii="Arial" w:cs="Arial" w:eastAsia="Arial" w:hAnsi="Arial"/>
          <w:sz w:val="24"/>
          <w:szCs w:val="24"/>
        </w:rPr>
        <w:t xml:space="preserve">Smart contract logic was tested using Hardhat's built-in test runner with Chai assertions. Tests covered: token minting (correct balance update, event emission, access control enforcement), executeTrade (balance deduction from seller, addition to buyer, trade record creation), recordTrade (audit record creation without balance change), and edge cases (zero quantity, non-existent security, insufficient balance).</w:t>
      </w:r>
    </w:p>
    <w:p>
      <w:pPr>
        <w:pStyle w:val="Heading3"/>
        <w:spacing w:after="80" w:before="240"/>
      </w:pPr>
      <w:r>
        <w:rPr>
          <w:rFonts w:ascii="Arial" w:cs="Arial" w:eastAsia="Arial" w:hAnsi="Arial"/>
          <w:b/>
          <w:bCs/>
          <w:color w:val="1D6A3A"/>
          <w:sz w:val="24"/>
          <w:szCs w:val="24"/>
        </w:rPr>
        <w:t xml:space="preserve">3.8.2  Integration Testing</w:t>
      </w:r>
    </w:p>
    <w:p>
      <w:pPr>
        <w:spacing w:after="120" w:before="80"/>
        <w:jc w:val="both"/>
      </w:pPr>
      <w:r>
        <w:rPr>
          <w:rFonts w:ascii="Arial" w:cs="Arial" w:eastAsia="Arial" w:hAnsi="Arial"/>
          <w:sz w:val="24"/>
          <w:szCs w:val="24"/>
        </w:rPr>
        <w:t xml:space="preserve">API route integration was tested using manual REST client (Insomnia) calls against the running development server with a live QBFT testnet. Test scenarios included: user registration and KYC submission, security listing and admin approval, order placement and broker execution, limit order fill and on-chain recording, and regulator dashboard compliance view.</w:t>
      </w:r>
    </w:p>
    <w:p>
      <w:pPr>
        <w:pStyle w:val="Heading3"/>
        <w:spacing w:after="80" w:before="240"/>
      </w:pPr>
      <w:r>
        <w:rPr>
          <w:rFonts w:ascii="Arial" w:cs="Arial" w:eastAsia="Arial" w:hAnsi="Arial"/>
          <w:b/>
          <w:bCs/>
          <w:color w:val="1D6A3A"/>
          <w:sz w:val="24"/>
          <w:szCs w:val="24"/>
        </w:rPr>
        <w:t xml:space="preserve">3.8.3  End-to-End Testing</w:t>
      </w:r>
    </w:p>
    <w:p>
      <w:pPr>
        <w:spacing w:after="120" w:before="80"/>
        <w:jc w:val="both"/>
      </w:pPr>
      <w:r>
        <w:rPr>
          <w:rFonts w:ascii="Arial" w:cs="Arial" w:eastAsia="Arial" w:hAnsi="Arial"/>
          <w:sz w:val="24"/>
          <w:szCs w:val="24"/>
        </w:rPr>
        <w:t xml:space="preserve">End-to-end functional testing was conducted manually by logging in as each of the five roles (admin, broker, investor, issuer, regulator) and executing the complete workflow for that role's primary use case. Browser DevTools network inspection was used to verify that API calls, authentication headers, and cookie values behaved as designed.</w:t>
      </w:r>
    </w:p>
    <w:p>
      <w:pPr>
        <w:pStyle w:val="Heading3"/>
        <w:spacing w:after="80" w:before="240"/>
      </w:pPr>
      <w:r>
        <w:rPr>
          <w:rFonts w:ascii="Arial" w:cs="Arial" w:eastAsia="Arial" w:hAnsi="Arial"/>
          <w:b/>
          <w:bCs/>
          <w:color w:val="1D6A3A"/>
          <w:sz w:val="24"/>
          <w:szCs w:val="24"/>
        </w:rPr>
        <w:t xml:space="preserve">3.8.4  Blockchain Network Testing</w:t>
      </w:r>
    </w:p>
    <w:p>
      <w:pPr>
        <w:spacing w:after="120" w:before="80"/>
        <w:jc w:val="both"/>
      </w:pPr>
      <w:r>
        <w:rPr>
          <w:rFonts w:ascii="Arial" w:cs="Arial" w:eastAsia="Arial" w:hAnsi="Arial"/>
          <w:sz w:val="24"/>
          <w:szCs w:val="24"/>
        </w:rPr>
        <w:t xml:space="preserve">The QBFT network was tested for consensus continuity by stopping one of the four validator nodes and confirming that block production continued (as expected for a 4-node QBFT network tolerating 1 failure). Block confirmation latency was measured as approximately 20 seconds (matching the blockperiodseconds = 20 genesis parameter), confirming the receipt timeout setting of 60 seconds provides adequate confirmation window.</w:t>
      </w:r>
    </w:p>
    <w:p>
      <w:pPr>
        <w:spacing w:after="160" w:before="0"/>
      </w:pPr>
    </w:p>
    <w:p>
      <w:pPr>
        <w:pStyle w:val="Heading2"/>
        <w:spacing w:after="100" w:before="320"/>
      </w:pPr>
      <w:r>
        <w:rPr>
          <w:rFonts w:ascii="Arial" w:cs="Arial" w:eastAsia="Arial" w:hAnsi="Arial"/>
          <w:b/>
          <w:bCs/>
          <w:color w:val="2E75B6"/>
          <w:sz w:val="28"/>
          <w:szCs w:val="28"/>
        </w:rPr>
        <w:t xml:space="preserve">3.9  Ethical Considerations</w:t>
      </w:r>
    </w:p>
    <w:p>
      <w:pPr>
        <w:spacing w:after="120" w:before="80"/>
        <w:jc w:val="both"/>
      </w:pPr>
      <w:r>
        <w:rPr>
          <w:rFonts w:ascii="Arial" w:cs="Arial" w:eastAsia="Arial" w:hAnsi="Arial"/>
          <w:sz w:val="24"/>
          <w:szCs w:val="24"/>
        </w:rPr>
        <w:t xml:space="preserve">This research operates in the financial services domain, which imposes specific ethical obligations:</w:t>
      </w:r>
    </w:p>
    <w:p>
      <w:pPr>
        <w:pStyle w:val="ListParagraph"/>
        <w:numPr>
          <w:ilvl w:val="0"/>
          <w:numId w:val="3"/>
        </w:numPr>
        <w:spacing w:after="60" w:before="60"/>
      </w:pPr>
      <w:r>
        <w:rPr>
          <w:rFonts w:ascii="Arial" w:cs="Arial" w:eastAsia="Arial" w:hAnsi="Arial"/>
          <w:sz w:val="24"/>
          <w:szCs w:val="24"/>
        </w:rPr>
        <w:t xml:space="preserve">No real investor funds or real securities were used at any stage of the research. All transactions were executed on the QBFT private testnet with synthetic data. Wallet balances and portfolio values displayed in the platform have no real monetary value.</w:t>
      </w:r>
    </w:p>
    <w:p>
      <w:pPr>
        <w:pStyle w:val="ListParagraph"/>
        <w:numPr>
          <w:ilvl w:val="0"/>
          <w:numId w:val="3"/>
        </w:numPr>
        <w:spacing w:after="60" w:before="60"/>
      </w:pPr>
      <w:r>
        <w:rPr>
          <w:rFonts w:ascii="Arial" w:cs="Arial" w:eastAsia="Arial" w:hAnsi="Arial"/>
          <w:sz w:val="24"/>
          <w:szCs w:val="24"/>
        </w:rPr>
        <w:t xml:space="preserve">KYC document samples used for testing were synthetic (generated test data). No real identity documents were uploaded to the Supabase storage bucket during development testing.</w:t>
      </w:r>
    </w:p>
    <w:p>
      <w:pPr>
        <w:pStyle w:val="ListParagraph"/>
        <w:numPr>
          <w:ilvl w:val="0"/>
          <w:numId w:val="3"/>
        </w:numPr>
        <w:spacing w:after="60" w:before="60"/>
      </w:pPr>
      <w:r>
        <w:rPr>
          <w:rFonts w:ascii="Arial" w:cs="Arial" w:eastAsia="Arial" w:hAnsi="Arial"/>
          <w:sz w:val="24"/>
          <w:szCs w:val="24"/>
        </w:rPr>
        <w:t xml:space="preserve">Private keys stored in .env.local for the development environment are test keys generated specifically for this project. They control no real-value wallets on any public blockchain.</w:t>
      </w:r>
    </w:p>
    <w:p>
      <w:pPr>
        <w:pStyle w:val="ListParagraph"/>
        <w:numPr>
          <w:ilvl w:val="0"/>
          <w:numId w:val="3"/>
        </w:numPr>
        <w:spacing w:after="60" w:before="60"/>
      </w:pPr>
      <w:r>
        <w:rPr>
          <w:rFonts w:ascii="Arial" w:cs="Arial" w:eastAsia="Arial" w:hAnsi="Arial"/>
          <w:sz w:val="24"/>
          <w:szCs w:val="24"/>
        </w:rPr>
        <w:t xml:space="preserve">The research complied with the National University of Lesotho's ethics guidelines for computing research involving system design and prototype evaluation.</w:t>
      </w:r>
    </w:p>
    <w:p>
      <w:pPr>
        <w:pStyle w:val="ListParagraph"/>
        <w:numPr>
          <w:ilvl w:val="0"/>
          <w:numId w:val="3"/>
        </w:numPr>
        <w:spacing w:after="60" w:before="60"/>
      </w:pPr>
      <w:r>
        <w:rPr>
          <w:rFonts w:ascii="Arial" w:cs="Arial" w:eastAsia="Arial" w:hAnsi="Arial"/>
          <w:sz w:val="24"/>
          <w:szCs w:val="24"/>
        </w:rPr>
        <w:t xml:space="preserve">Where the platform is extended to a production deployment, a full data protection impact assessment (DPIA) aligned with Lesotho's data protection legislation will be required before real personal data is processed.</w:t>
      </w:r>
    </w:p>
    <w:p>
      <w:pPr>
        <w:spacing w:after="160" w:before="0"/>
      </w:pPr>
    </w:p>
    <w:p>
      <w:pPr>
        <w:pStyle w:val="Heading2"/>
        <w:spacing w:after="100" w:before="320"/>
      </w:pPr>
      <w:r>
        <w:rPr>
          <w:rFonts w:ascii="Arial" w:cs="Arial" w:eastAsia="Arial" w:hAnsi="Arial"/>
          <w:b/>
          <w:bCs/>
          <w:color w:val="2E75B6"/>
          <w:sz w:val="28"/>
          <w:szCs w:val="28"/>
        </w:rPr>
        <w:t xml:space="preserve">3.10  Summary</w:t>
      </w:r>
    </w:p>
    <w:p>
      <w:pPr>
        <w:spacing w:after="120" w:before="80"/>
        <w:jc w:val="both"/>
      </w:pPr>
      <w:r>
        <w:rPr>
          <w:rFonts w:ascii="Arial" w:cs="Arial" w:eastAsia="Arial" w:hAnsi="Arial"/>
          <w:sz w:val="24"/>
          <w:szCs w:val="24"/>
        </w:rPr>
        <w:t xml:space="preserve">This chapter presented the methodological foundations of the MDSM project. The Design Science Research paradigm was selected as appropriate for artefact-producing computing research. An Agile sprint-based development approach was used within that paradigm. Technology selections were justified against functional requirements, with Hyperledger Besu QBFT chosen for its deterministic finality and EVM compatibility, Next.js 16 for its hybrid server/client rendering capabilities, and Supabase PostgreSQL for managed relational data with integrated document storage. The testing strategy combined smart contract unit tests, API integration tests, and manual end-to-end role-based testing. Ethical boundaries were clearly defined to ensure no real financial or personal data was put at risk during development.</w:t>
      </w:r>
    </w:p>
    <w:p>
      <w:pPr>
        <w:spacing w:after="16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single" w:color="2E75B6" w:sz="4"/>
              <w:right w:val="nil"/>
            </w:tcBorders>
            <w:shd w:fill="EBF3FB" w:val="clear"/>
            <w:tcMar>
              <w:top w:type="dxa" w:w="120"/>
              <w:left w:type="dxa" w:w="200"/>
              <w:bottom w:type="dxa" w:w="120"/>
              <w:right w:type="dxa" w:w="200"/>
            </w:tcMar>
          </w:tcPr>
          <w:p>
            <w:r>
              <w:rPr>
                <w:rFonts w:ascii="Arial" w:cs="Arial" w:eastAsia="Arial" w:hAnsi="Arial"/>
                <w:b/>
                <w:bCs/>
                <w:color w:val="2E75B6"/>
                <w:sz w:val="22"/>
                <w:szCs w:val="22"/>
              </w:rPr>
              <w:t xml:space="preserve">Chapter Summary</w:t>
            </w:r>
          </w:p>
          <w:p>
            <w:pPr>
              <w:spacing w:after="0" w:before="60"/>
              <w:jc w:val="both"/>
            </w:pPr>
            <w:r>
              <w:rPr>
                <w:rFonts w:ascii="Arial" w:cs="Arial" w:eastAsia="Arial" w:hAnsi="Arial"/>
                <w:sz w:val="22"/>
                <w:szCs w:val="22"/>
              </w:rPr>
              <w:t xml:space="preserve">This chapter covered: (1) Design Science Research as the overarching paradigm; (2) Agile feature sprints as the development methodology; (3) justified technology selections across frontend, blockchain, database, and authentication layers; (4) a three-tier architectural overview; (5) database and smart contract design principles; (6) a four-level testing strategy; and (7) ethical considerations governing the use of financial and personal data.</w:t>
            </w:r>
          </w:p>
        </w:tc>
      </w:tr>
    </w:tbl>
    <w:p>
      <w:pPr>
        <w:spacing w:after="80" w:before="0"/>
      </w:pPr>
    </w:p>
    <w:p>
      <w:r>
        <w:br w:type="page"/>
      </w:r>
    </w:p>
    <w:p>
      <w:pPr>
        <w:pStyle w:val="Heading1"/>
        <w:spacing w:after="120" w:before="480"/>
      </w:pPr>
      <w:r>
        <w:rPr>
          <w:rFonts w:ascii="Arial" w:cs="Arial" w:eastAsia="Arial" w:hAnsi="Arial"/>
          <w:b/>
          <w:bCs/>
          <w:color w:val="1F3864"/>
          <w:sz w:val="36"/>
          <w:szCs w:val="36"/>
        </w:rPr>
        <w:t xml:space="preserve">References</w:t>
      </w:r>
    </w:p>
    <w:p>
      <w:pPr>
        <w:pBdr>
          <w:bottom w:val="single" w:color="2E75B6" w:sz="6" w:space="1"/>
        </w:pBdr>
        <w:spacing w:after="0" w:before="0"/>
      </w:pPr>
    </w:p>
    <w:p>
      <w:pPr>
        <w:spacing w:after="80" w:before="0"/>
      </w:pPr>
    </w:p>
    <w:p>
      <w:pPr>
        <w:spacing w:after="120" w:before="80"/>
        <w:jc w:val="both"/>
      </w:pPr>
      <w:r>
        <w:rPr>
          <w:rFonts w:ascii="Arial" w:cs="Arial" w:eastAsia="Arial" w:hAnsi="Arial"/>
          <w:sz w:val="24"/>
          <w:szCs w:val="24"/>
        </w:rPr>
        <w:t xml:space="preserve">ASX Limited. (2023). ASX CHESS Replacement Project: Project closure announcement. ASX Media Release.</w:t>
      </w:r>
    </w:p>
    <w:p>
      <w:pPr>
        <w:spacing w:after="120" w:before="80"/>
        <w:jc w:val="both"/>
      </w:pPr>
      <w:r>
        <w:rPr>
          <w:rFonts w:ascii="Arial" w:cs="Arial" w:eastAsia="Arial" w:hAnsi="Arial"/>
          <w:sz w:val="24"/>
          <w:szCs w:val="24"/>
        </w:rPr>
        <w:t xml:space="preserve">Bank for International Settlements. (2017). Distributed ledger technology in payment, clearing and settlement. BIS Committee on Payments and Market Infrastructures.</w:t>
      </w:r>
    </w:p>
    <w:p>
      <w:pPr>
        <w:spacing w:after="120" w:before="80"/>
        <w:jc w:val="both"/>
      </w:pPr>
      <w:r>
        <w:rPr>
          <w:rFonts w:ascii="Arial" w:cs="Arial" w:eastAsia="Arial" w:hAnsi="Arial"/>
          <w:sz w:val="24"/>
          <w:szCs w:val="24"/>
        </w:rPr>
        <w:t xml:space="preserve">Buterin, V. (2013). Ethereum: A Next-Generation Smart Contract and Decentralized Application Platform. Ethereum Foundation.</w:t>
      </w:r>
    </w:p>
    <w:p>
      <w:pPr>
        <w:spacing w:after="120" w:before="80"/>
        <w:jc w:val="both"/>
      </w:pPr>
      <w:r>
        <w:rPr>
          <w:rFonts w:ascii="Arial" w:cs="Arial" w:eastAsia="Arial" w:hAnsi="Arial"/>
          <w:sz w:val="24"/>
          <w:szCs w:val="24"/>
        </w:rPr>
        <w:t xml:space="preserve">Davis, F. D. (1989). Perceived usefulness, perceived ease of use, and user acceptance of information technology. MIS Quarterly, 13(3), 319-340.</w:t>
      </w:r>
    </w:p>
    <w:p>
      <w:pPr>
        <w:spacing w:after="120" w:before="80"/>
        <w:jc w:val="both"/>
      </w:pPr>
      <w:r>
        <w:rPr>
          <w:rFonts w:ascii="Arial" w:cs="Arial" w:eastAsia="Arial" w:hAnsi="Arial"/>
          <w:sz w:val="24"/>
          <w:szCs w:val="24"/>
        </w:rPr>
        <w:t xml:space="preserve">FATF. (2023). FATF Recommendations: International Standards on Combating Money Laundering and the Financing of Terrorism and Proliferation. Financial Action Task Force.</w:t>
      </w:r>
    </w:p>
    <w:p>
      <w:pPr>
        <w:spacing w:after="120" w:before="80"/>
        <w:jc w:val="both"/>
      </w:pPr>
      <w:r>
        <w:rPr>
          <w:rFonts w:ascii="Arial" w:cs="Arial" w:eastAsia="Arial" w:hAnsi="Arial"/>
          <w:sz w:val="24"/>
          <w:szCs w:val="24"/>
        </w:rPr>
        <w:t xml:space="preserve">Hevner, A. R., March, S. T., Park, J., &amp; Ram, S. (2004). Design science in information systems research. MIS Quarterly, 28(1), 75-105.</w:t>
      </w:r>
    </w:p>
    <w:p>
      <w:pPr>
        <w:spacing w:after="120" w:before="80"/>
        <w:jc w:val="both"/>
      </w:pPr>
      <w:r>
        <w:rPr>
          <w:rFonts w:ascii="Arial" w:cs="Arial" w:eastAsia="Arial" w:hAnsi="Arial"/>
          <w:sz w:val="24"/>
          <w:szCs w:val="24"/>
        </w:rPr>
        <w:t xml:space="preserve">Hyperledger Foundation. (2024). Hyperledger Besu Documentation. Linux Foundation Projects.</w:t>
      </w:r>
    </w:p>
    <w:p>
      <w:pPr>
        <w:spacing w:after="120" w:before="80"/>
        <w:jc w:val="both"/>
      </w:pPr>
      <w:r>
        <w:rPr>
          <w:rFonts w:ascii="Arial" w:cs="Arial" w:eastAsia="Arial" w:hAnsi="Arial"/>
          <w:sz w:val="24"/>
          <w:szCs w:val="24"/>
        </w:rPr>
        <w:t xml:space="preserve">Irving, J. (2005). The role of regional integration in sub-Saharan African securities markets. IMF Working Paper WP/05/17.</w:t>
      </w:r>
    </w:p>
    <w:p>
      <w:pPr>
        <w:spacing w:after="120" w:before="80"/>
        <w:jc w:val="both"/>
      </w:pPr>
      <w:r>
        <w:rPr>
          <w:rFonts w:ascii="Arial" w:cs="Arial" w:eastAsia="Arial" w:hAnsi="Arial"/>
          <w:sz w:val="24"/>
          <w:szCs w:val="24"/>
        </w:rPr>
        <w:t xml:space="preserve">Kyle, A. S. (1985). Continuous auctions and insider trading. Econometrica, 53(6), 1315-1335.</w:t>
      </w:r>
    </w:p>
    <w:p>
      <w:pPr>
        <w:spacing w:after="120" w:before="80"/>
        <w:jc w:val="both"/>
      </w:pPr>
      <w:r>
        <w:rPr>
          <w:rFonts w:ascii="Arial" w:cs="Arial" w:eastAsia="Arial" w:hAnsi="Arial"/>
          <w:sz w:val="24"/>
          <w:szCs w:val="24"/>
        </w:rPr>
        <w:t xml:space="preserve">Lesotho Government. (2021). Capital Markets Bill (Draft). Ministry of Finance, Kingdom of Lesotho.</w:t>
      </w:r>
    </w:p>
    <w:p>
      <w:pPr>
        <w:spacing w:after="120" w:before="80"/>
        <w:jc w:val="both"/>
      </w:pPr>
      <w:r>
        <w:rPr>
          <w:rFonts w:ascii="Arial" w:cs="Arial" w:eastAsia="Arial" w:hAnsi="Arial"/>
          <w:sz w:val="24"/>
          <w:szCs w:val="24"/>
        </w:rPr>
        <w:t xml:space="preserve">Lesotho Government. (2022). Money Laundering, Proceeds of Crime and Terrorist Financing (Amendment) Act. Government Gazette.</w:t>
      </w:r>
    </w:p>
    <w:p>
      <w:pPr>
        <w:spacing w:after="120" w:before="80"/>
        <w:jc w:val="both"/>
      </w:pPr>
      <w:r>
        <w:rPr>
          <w:rFonts w:ascii="Arial" w:cs="Arial" w:eastAsia="Arial" w:hAnsi="Arial"/>
          <w:sz w:val="24"/>
          <w:szCs w:val="24"/>
        </w:rPr>
        <w:t xml:space="preserve">Nakamoto, S. (2008). Bitcoin: A Peer-to-Peer Electronic Cash System.</w:t>
      </w:r>
    </w:p>
    <w:p>
      <w:pPr>
        <w:spacing w:after="120" w:before="80"/>
        <w:jc w:val="both"/>
      </w:pPr>
      <w:r>
        <w:rPr>
          <w:rFonts w:ascii="Arial" w:cs="Arial" w:eastAsia="Arial" w:hAnsi="Arial"/>
          <w:sz w:val="24"/>
          <w:szCs w:val="24"/>
        </w:rPr>
        <w:t xml:space="preserve">North, D. C. (1990). Institutions, Institutional Change and Economic Performance. Cambridge University Press.</w:t>
      </w:r>
    </w:p>
    <w:p>
      <w:pPr>
        <w:spacing w:after="120" w:before="80"/>
        <w:jc w:val="both"/>
      </w:pPr>
      <w:r>
        <w:rPr>
          <w:rFonts w:ascii="Arial" w:cs="Arial" w:eastAsia="Arial" w:hAnsi="Arial"/>
          <w:sz w:val="24"/>
          <w:szCs w:val="24"/>
        </w:rPr>
        <w:t xml:space="preserve">Nthebe, K., &amp; Motsoari, T. (2019). Capital market development constraints in Lesotho: A financial sector assessment. Southern African Journal of Finance, 8(2), 44-61.</w:t>
      </w:r>
    </w:p>
    <w:p>
      <w:pPr>
        <w:spacing w:after="120" w:before="80"/>
        <w:jc w:val="both"/>
      </w:pPr>
      <w:r>
        <w:rPr>
          <w:rFonts w:ascii="Arial" w:cs="Arial" w:eastAsia="Arial" w:hAnsi="Arial"/>
          <w:sz w:val="24"/>
          <w:szCs w:val="24"/>
        </w:rPr>
        <w:t xml:space="preserve">O'Hara, M. (1995). Market Microstructure Theory. Blackwell Publishers.</w:t>
      </w:r>
    </w:p>
    <w:p>
      <w:pPr>
        <w:spacing w:after="120" w:before="80"/>
        <w:jc w:val="both"/>
      </w:pPr>
      <w:r>
        <w:rPr>
          <w:rFonts w:ascii="Arial" w:cs="Arial" w:eastAsia="Arial" w:hAnsi="Arial"/>
          <w:sz w:val="24"/>
          <w:szCs w:val="24"/>
        </w:rPr>
        <w:t xml:space="preserve">Peffers, K., Tuunanen, T., Rothenberger, M. A., &amp; Chatterjee, S. (2007). A design science research methodology for information systems research. Journal of Management Information Systems, 24(3), 45-77.</w:t>
      </w:r>
    </w:p>
    <w:p>
      <w:pPr>
        <w:spacing w:after="120" w:before="80"/>
        <w:jc w:val="both"/>
      </w:pPr>
      <w:r>
        <w:rPr>
          <w:rFonts w:ascii="Arial" w:cs="Arial" w:eastAsia="Arial" w:hAnsi="Arial"/>
          <w:sz w:val="24"/>
          <w:szCs w:val="24"/>
        </w:rPr>
        <w:t xml:space="preserve">Pinna, A., &amp; Ruttenberg, W. (2016). Distributed ledger technologies in securities post-trading. ECB Occasional Paper No. 172.</w:t>
      </w:r>
    </w:p>
    <w:p>
      <w:pPr>
        <w:spacing w:after="120" w:before="80"/>
        <w:jc w:val="both"/>
      </w:pPr>
      <w:r>
        <w:rPr>
          <w:rFonts w:ascii="Arial" w:cs="Arial" w:eastAsia="Arial" w:hAnsi="Arial"/>
          <w:sz w:val="24"/>
          <w:szCs w:val="24"/>
        </w:rPr>
        <w:t xml:space="preserve">SIX Group. (2023). SIX Digital Exchange: Annual Report on Digital Securities Issuance. SIX Group AG.</w:t>
      </w:r>
    </w:p>
    <w:p>
      <w:pPr>
        <w:spacing w:after="120" w:before="80"/>
        <w:jc w:val="both"/>
      </w:pPr>
      <w:r>
        <w:rPr>
          <w:rFonts w:ascii="Arial" w:cs="Arial" w:eastAsia="Arial" w:hAnsi="Arial"/>
          <w:sz w:val="24"/>
          <w:szCs w:val="24"/>
        </w:rPr>
        <w:t xml:space="preserve">Vercel Inc. (2024). Next.js 16 Documentation: App Router, Proxy convention, Server Actions. Vercel Inc.</w:t>
      </w:r>
    </w:p>
    <w:p>
      <w:pPr>
        <w:spacing w:after="120" w:before="80"/>
        <w:jc w:val="both"/>
      </w:pPr>
      <w:r>
        <w:rPr>
          <w:rFonts w:ascii="Arial" w:cs="Arial" w:eastAsia="Arial" w:hAnsi="Arial"/>
          <w:sz w:val="24"/>
          <w:szCs w:val="24"/>
        </w:rPr>
        <w:t xml:space="preserve">Vogelsteller, F., &amp; Buterin, V. (2015). EIP-20: Token Standard. Ethereum Improvement Proposals.</w:t>
      </w:r>
    </w:p>
    <w:p>
      <w:pPr>
        <w:spacing w:after="120" w:before="80"/>
        <w:jc w:val="both"/>
      </w:pPr>
      <w:r>
        <w:rPr>
          <w:rFonts w:ascii="Arial" w:cs="Arial" w:eastAsia="Arial" w:hAnsi="Arial"/>
          <w:sz w:val="24"/>
          <w:szCs w:val="24"/>
        </w:rPr>
        <w:t xml:space="preserve">World Bank Group. (2018). World Bank launches first-ever blockchain bond. World Bank Treasury.</w:t>
      </w:r>
    </w:p>
    <w:p>
      <w:pPr>
        <w:spacing w:after="240" w:before="0"/>
      </w:pPr>
    </w:p>
    <w:sectPr>
      <w:headerReference w:type="default" r:id="rId7"/>
      <w:footerReference w:type="default" r:id="rId8"/>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National University of Lesotho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MDSM  |  Chapters 1–3: Introduction, Literature Review,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D6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2026-05-29T12:03:27.874Z</dcterms:created>
  <dcterms:modified xsi:type="dcterms:W3CDTF">2026-05-29T12:03:27.875Z</dcterms:modified>
</cp:coreProperties>
</file>

<file path=docProps/custom.xml><?xml version="1.0" encoding="utf-8"?>
<Properties xmlns="http://schemas.openxmlformats.org/officeDocument/2006/custom-properties" xmlns:vt="http://schemas.openxmlformats.org/officeDocument/2006/docPropsVTypes"/>
</file>