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CBManagement ERP — Business Plan &amp; 3-Year Cash Flow Projection (Revised)</w:t>
      </w:r>
    </w:p>
    <w:p>
      <w:r>
        <w:rPr>
          <w:rFonts w:ascii="Calibri" w:hAnsi="Calibri"/>
          <w:b w:val="0"/>
          <w:sz w:val="22"/>
        </w:rPr>
        <w:t>Date: 2026-08-12 · Revision: financial model corrected; subscription-only pricing (no setup fees)</w:t>
      </w:r>
    </w:p>
    <w:p>
      <w:r>
        <w:rPr>
          <w:rFonts w:ascii="Calibri" w:hAnsi="Calibri"/>
          <w:b w:val="0"/>
          <w:sz w:val="22"/>
        </w:rPr>
        <w:t>Currency: Trinidad &amp; Tobago dollars (TT$). Figures are exclusive of VAT unless noted.</w:t>
      </w:r>
    </w:p>
    <w:p>
      <w:pPr>
        <w:pStyle w:val="Heading1"/>
      </w:pPr>
      <w:r>
        <w:t>1. Executive Summary</w:t>
      </w:r>
    </w:p>
    <w:p>
      <w:r>
        <w:rPr>
          <w:rFonts w:ascii="Calibri" w:hAnsi="Calibri"/>
          <w:b w:val="0"/>
          <w:sz w:val="22"/>
        </w:rPr>
        <w:t>CBManagement ERP is a Caribbean-focused business operating system for small and growing businesses that currently manage operations using WhatsApp, spreadsheets, notebooks, and separate accounting tools. The platform combines project/job management, invoicing, expenses, inventory, customer management, quotations, payments, POS, and a plain-language business dashboard in one cloud application.</w:t>
      </w:r>
    </w:p>
    <w:p>
      <w:pPr>
        <w:pStyle w:val="Heading1"/>
      </w:pPr>
      <w:r>
        <w:t>2. Problem Statement</w:t>
      </w:r>
    </w:p>
    <w:p>
      <w:r>
        <w:rPr>
          <w:rFonts w:ascii="Calibri" w:hAnsi="Calibri"/>
          <w:b w:val="0"/>
          <w:sz w:val="22"/>
        </w:rPr>
        <w:t>Small businesses in Trinidad &amp; Tobago often use disconnected systems for sales, jobs, inventory, invoicing, and payments. This causes lost information, late invoicing, poor cash-flow visibility, and difficulty measuring job profitability.</w:t>
      </w:r>
    </w:p>
    <w:p>
      <w:pPr>
        <w:pStyle w:val="Heading1"/>
      </w:pPr>
      <w:r>
        <w:t>3. Solution</w:t>
      </w:r>
    </w:p>
    <w:p>
      <w:r>
        <w:rPr>
          <w:rFonts w:ascii="Calibri" w:hAnsi="Calibri"/>
          <w:b w:val="0"/>
          <w:sz w:val="22"/>
        </w:rPr>
        <w:t>Customer CRM · Quotations · Projects/Jobs · Expenses · Inventory · Suppliers · Invoices &amp; Payments · Cash-flow dashboard · Basic POS · Employee hours (expanding to payroll later)</w:t>
      </w:r>
    </w:p>
    <w:p>
      <w:pPr>
        <w:pStyle w:val="Heading1"/>
      </w:pPr>
      <w:r>
        <w:t>4. Target Market</w:t>
      </w:r>
    </w:p>
    <w:p>
      <w:r>
        <w:rPr>
          <w:rFonts w:ascii="Calibri" w:hAnsi="Calibri"/>
          <w:b w:val="0"/>
          <w:sz w:val="22"/>
        </w:rPr>
        <w:t>Primary: service businesses (contractors, electricians, plumbers, print shops, landscapers, consultants) and product/retail businesses (bakeries, craft, hardware, small retailers) across Trinidad &amp; Tobago, expanding to the wider Caribbean.</w:t>
      </w:r>
    </w:p>
    <w:p>
      <w:pPr>
        <w:pStyle w:val="Heading1"/>
      </w:pPr>
      <w:r>
        <w:t>5. Business Model</w:t>
      </w:r>
    </w:p>
    <w:p>
      <w:r>
        <w:rPr>
          <w:rFonts w:ascii="Calibri" w:hAnsi="Calibri"/>
          <w:b w:val="0"/>
          <w:sz w:val="22"/>
        </w:rPr>
        <w:t>Subscription SaaS only for now (no setup or onboarding fees).</w:t>
      </w:r>
    </w:p>
    <w:p>
      <w:r>
        <w:rPr>
          <w:rFonts w:ascii="Calibri" w:hAnsi="Calibri"/>
          <w:b w:val="0"/>
          <w:sz w:val="22"/>
        </w:rPr>
        <w:t>Starter – TT$99/month</w:t>
      </w:r>
    </w:p>
    <w:p>
      <w:r>
        <w:rPr>
          <w:rFonts w:ascii="Calibri" w:hAnsi="Calibri"/>
          <w:b w:val="0"/>
          <w:sz w:val="22"/>
        </w:rPr>
        <w:t>Business – TT$199/month (flagship)</w:t>
      </w:r>
    </w:p>
    <w:p>
      <w:r>
        <w:rPr>
          <w:rFonts w:ascii="Calibri" w:hAnsi="Calibri"/>
          <w:b w:val="0"/>
          <w:sz w:val="22"/>
        </w:rPr>
        <w:t>Professional – TT$399/month</w:t>
      </w:r>
    </w:p>
    <w:p>
      <w:r>
        <w:rPr>
          <w:rFonts w:ascii="Calibri" w:hAnsi="Calibri"/>
          <w:b w:val="0"/>
          <w:sz w:val="22"/>
        </w:rPr>
        <w:t>Enterprise – TT$750+/month</w:t>
      </w:r>
    </w:p>
    <w:p>
      <w:r>
        <w:rPr>
          <w:rFonts w:ascii="Calibri" w:hAnsi="Calibri"/>
          <w:b w:val="0"/>
          <w:sz w:val="22"/>
        </w:rPr>
        <w:t>Annual plans offer roughly two months free vs monthly billing. Extra seats beyond plan limits: ~TT$25–40/user/month.</w:t>
      </w:r>
    </w:p>
    <w:p>
      <w:pPr>
        <w:pStyle w:val="Heading1"/>
      </w:pPr>
      <w:r>
        <w:t>6. Competitive Advantage</w:t>
      </w:r>
    </w:p>
    <w:p>
      <w:r>
        <w:rPr>
          <w:rFonts w:ascii="Calibri" w:hAnsi="Calibri"/>
          <w:b w:val="0"/>
          <w:sz w:val="22"/>
        </w:rPr>
        <w:t>Designed for Caribbean SMEs · plain-language dashboard · integrated jobs + inventory + invoicing · WhatsApp-friendly workflows · affordable vs enterprise ERP · TTD-native pricing</w:t>
      </w:r>
    </w:p>
    <w:p>
      <w:pPr>
        <w:pStyle w:val="Heading1"/>
      </w:pPr>
      <w:r>
        <w:t>7. Go-to-Market Strategy</w:t>
      </w:r>
    </w:p>
    <w:p>
      <w:r>
        <w:rPr>
          <w:rFonts w:ascii="Calibri" w:hAnsi="Calibri"/>
          <w:b w:val="0"/>
          <w:sz w:val="22"/>
        </w:rPr>
        <w:t>Direct outreach · WhatsApp business groups · Facebook/Instagram · accountant/consultant partnerships · 14–30 day free trial · industry templates (trades first)</w:t>
      </w:r>
    </w:p>
    <w:p>
      <w:pPr>
        <w:pStyle w:val="Heading1"/>
      </w:pPr>
      <w:r>
        <w:t>8. Technology Stack</w:t>
      </w:r>
    </w:p>
    <w:p>
      <w:r>
        <w:rPr>
          <w:rFonts w:ascii="Calibri" w:hAnsi="Calibri"/>
          <w:b w:val="0"/>
          <w:sz w:val="22"/>
        </w:rPr>
        <w:t>Next.js · Supabase (PostgreSQL + Auth) · Tailwind CSS · Prisma · Vercel hosting</w:t>
      </w:r>
    </w:p>
    <w:p>
      <w:pPr>
        <w:pStyle w:val="Heading1"/>
      </w:pPr>
      <w:r>
        <w:t>9. Milestones (aligned to financial model)</w:t>
      </w:r>
    </w:p>
    <w:p>
      <w:r>
        <w:rPr>
          <w:rFonts w:ascii="Calibri" w:hAnsi="Calibri"/>
          <w:b w:val="0"/>
          <w:sz w:val="22"/>
        </w:rPr>
        <w:t>These milestones were revised so they no longer conflict with the conservative revenue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MVP + production deploy</w:t>
            </w:r>
          </w:p>
        </w:tc>
        <w:tc>
          <w:tcPr>
            <w:tcW w:type="dxa" w:w="2880"/>
          </w:tcPr>
          <w:p>
            <w:r>
              <w:t>Week 1–2</w:t>
            </w:r>
          </w:p>
        </w:tc>
        <w:tc>
          <w:tcPr>
            <w:tcW w:type="dxa" w:w="2880"/>
          </w:tcPr>
          <w:p>
            <w:r>
              <w:t>Live URL, auth, core modules</w:t>
            </w:r>
          </w:p>
        </w:tc>
      </w:tr>
      <w:tr>
        <w:tc>
          <w:tcPr>
            <w:tcW w:type="dxa" w:w="2880"/>
          </w:tcPr>
          <w:p>
            <w:r>
              <w:t>25 verified external users</w:t>
            </w:r>
          </w:p>
        </w:tc>
        <w:tc>
          <w:tcPr>
            <w:tcW w:type="dxa" w:w="2880"/>
          </w:tcPr>
          <w:p>
            <w:r>
              <w:t>Week 1–2 (cohort gate)</w:t>
            </w:r>
          </w:p>
        </w:tc>
        <w:tc>
          <w:tcPr>
            <w:tcW w:type="dxa" w:w="2880"/>
          </w:tcPr>
          <w:p>
            <w:r>
              <w:t>Unique external accounts with a real action</w:t>
            </w:r>
          </w:p>
        </w:tc>
      </w:tr>
      <w:tr>
        <w:tc>
          <w:tcPr>
            <w:tcW w:type="dxa" w:w="2880"/>
          </w:tcPr>
          <w:p>
            <w:r>
              <w:t>First paying customer</w:t>
            </w:r>
          </w:p>
        </w:tc>
        <w:tc>
          <w:tcPr>
            <w:tcW w:type="dxa" w:w="2880"/>
          </w:tcPr>
          <w:p>
            <w:r>
              <w:t>Month 2–3</w:t>
            </w:r>
          </w:p>
        </w:tc>
        <w:tc>
          <w:tcPr>
            <w:tcW w:type="dxa" w:w="2880"/>
          </w:tcPr>
          <w:p>
            <w:r>
              <w:t>≥1 Business plan subscriber</w:t>
            </w:r>
          </w:p>
        </w:tc>
      </w:tr>
      <w:tr>
        <w:tc>
          <w:tcPr>
            <w:tcW w:type="dxa" w:w="2880"/>
          </w:tcPr>
          <w:p>
            <w:r>
              <w:t>End Year 1 paying businesses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  <w:tc>
          <w:tcPr>
            <w:tcW w:type="dxa" w:w="2880"/>
          </w:tcPr>
          <w:p>
            <w:r>
              <w:t>~25 paying (avg ~15 during year)</w:t>
            </w:r>
          </w:p>
        </w:tc>
      </w:tr>
      <w:tr>
        <w:tc>
          <w:tcPr>
            <w:tcW w:type="dxa" w:w="2880"/>
          </w:tcPr>
          <w:p>
            <w:r>
              <w:t>End Year 2 paying businesses</w:t>
            </w:r>
          </w:p>
        </w:tc>
        <w:tc>
          <w:tcPr>
            <w:tcW w:type="dxa" w:w="2880"/>
          </w:tcPr>
          <w:p>
            <w:r>
              <w:t>Month 24</w:t>
            </w:r>
          </w:p>
        </w:tc>
        <w:tc>
          <w:tcPr>
            <w:tcW w:type="dxa" w:w="2880"/>
          </w:tcPr>
          <w:p>
            <w:r>
              <w:t>~70 paying (avg ~50)</w:t>
            </w:r>
          </w:p>
        </w:tc>
      </w:tr>
      <w:tr>
        <w:tc>
          <w:tcPr>
            <w:tcW w:type="dxa" w:w="2880"/>
          </w:tcPr>
          <w:p>
            <w:r>
              <w:t>End Year 3 paying businesses</w:t>
            </w:r>
          </w:p>
        </w:tc>
        <w:tc>
          <w:tcPr>
            <w:tcW w:type="dxa" w:w="2880"/>
          </w:tcPr>
          <w:p>
            <w:r>
              <w:t>Month 36</w:t>
            </w:r>
          </w:p>
        </w:tc>
        <w:tc>
          <w:tcPr>
            <w:tcW w:type="dxa" w:w="2880"/>
          </w:tcPr>
          <w:p>
            <w:r>
              <w:t>~160 paying (avg ~120)</w:t>
            </w:r>
          </w:p>
        </w:tc>
      </w:tr>
    </w:tbl>
    <w:p/>
    <w:p>
      <w:r>
        <w:rPr>
          <w:rFonts w:ascii="Calibri" w:hAnsi="Calibri"/>
          <w:b w:val="0"/>
          <w:sz w:val="22"/>
        </w:rPr>
        <w:t>Note: Earlier draft listed 50 / 150 / 300 active businesses at months 12 / 24 / 36, which implied roughly double the subscription revenue of the cash-flow table. This revision keeps the conservative case and aligns milestones to it. An upside case is shown in §12b.</w:t>
      </w:r>
    </w:p>
    <w:p>
      <w:pPr>
        <w:pStyle w:val="Heading1"/>
      </w:pPr>
      <w:r>
        <w:t>10. Financial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Revenue model</w:t>
            </w:r>
          </w:p>
        </w:tc>
        <w:tc>
          <w:tcPr>
            <w:tcW w:type="dxa" w:w="2880"/>
          </w:tcPr>
          <w:p>
            <w:r>
              <w:t>Subscriptions only</w:t>
            </w:r>
          </w:p>
        </w:tc>
        <w:tc>
          <w:tcPr>
            <w:tcW w:type="dxa" w:w="2880"/>
          </w:tcPr>
          <w:p>
            <w:r>
              <w:t>No setup, onboarding, or implementation fees in this plan</w:t>
            </w:r>
          </w:p>
        </w:tc>
      </w:tr>
      <w:tr>
        <w:tc>
          <w:tcPr>
            <w:tcW w:type="dxa" w:w="2880"/>
          </w:tcPr>
          <w:p>
            <w:r>
              <w:t>Blended ARPU</w:t>
            </w:r>
          </w:p>
        </w:tc>
        <w:tc>
          <w:tcPr>
            <w:tcW w:type="dxa" w:w="2880"/>
          </w:tcPr>
          <w:p>
            <w:r>
              <w:t>TT$199 / month</w:t>
            </w:r>
          </w:p>
        </w:tc>
        <w:tc>
          <w:tcPr>
            <w:tcW w:type="dxa" w:w="2880"/>
          </w:tcPr>
          <w:p>
            <w:r>
              <w:t>Most customers on Business plan</w:t>
            </w:r>
          </w:p>
        </w:tc>
      </w:tr>
      <w:tr>
        <w:tc>
          <w:tcPr>
            <w:tcW w:type="dxa" w:w="2880"/>
          </w:tcPr>
          <w:p>
            <w:r>
              <w:t>Avg paying customers Y1 / Y2 / Y3</w:t>
            </w:r>
          </w:p>
        </w:tc>
        <w:tc>
          <w:tcPr>
            <w:tcW w:type="dxa" w:w="2880"/>
          </w:tcPr>
          <w:p>
            <w:r>
              <w:t>15 / 50 / 120</w:t>
            </w:r>
          </w:p>
        </w:tc>
        <w:tc>
          <w:tcPr>
            <w:tcW w:type="dxa" w:w="2880"/>
          </w:tcPr>
          <w:p>
            <w:r>
              <w:t>Average during each year, after churn</w:t>
            </w:r>
          </w:p>
        </w:tc>
      </w:tr>
      <w:tr>
        <w:tc>
          <w:tcPr>
            <w:tcW w:type="dxa" w:w="2880"/>
          </w:tcPr>
          <w:p>
            <w:r>
              <w:t>EOY paying customers Y1 / Y2 / Y3</w:t>
            </w:r>
          </w:p>
        </w:tc>
        <w:tc>
          <w:tcPr>
            <w:tcW w:type="dxa" w:w="2880"/>
          </w:tcPr>
          <w:p>
            <w:r>
              <w:t>25 / 70 / 160</w:t>
            </w:r>
          </w:p>
        </w:tc>
        <w:tc>
          <w:tcPr>
            <w:tcW w:type="dxa" w:w="2880"/>
          </w:tcPr>
          <w:p>
            <w:r>
              <w:t>Exit rate for each year</w:t>
            </w:r>
          </w:p>
        </w:tc>
      </w:tr>
      <w:tr>
        <w:tc>
          <w:tcPr>
            <w:tcW w:type="dxa" w:w="2880"/>
          </w:tcPr>
          <w:p>
            <w:r>
              <w:t>Monthly logo churn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Implied avg life ≈ 33 months</w:t>
            </w:r>
          </w:p>
        </w:tc>
      </w:tr>
      <w:tr>
        <w:tc>
          <w:tcPr>
            <w:tcW w:type="dxa" w:w="2880"/>
          </w:tcPr>
          <w:p>
            <w:r>
              <w:t>Seed capital</w:t>
            </w:r>
          </w:p>
        </w:tc>
        <w:tc>
          <w:tcPr>
            <w:tcW w:type="dxa" w:w="2880"/>
          </w:tcPr>
          <w:p>
            <w:r>
              <w:t>TT$30,000</w:t>
            </w:r>
          </w:p>
        </w:tc>
        <w:tc>
          <w:tcPr>
            <w:tcW w:type="dxa" w:w="2880"/>
          </w:tcPr>
          <w:p>
            <w:r>
              <w:t>Midpoint of TT$25–40k funding need; financing inflow in Y1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Founder-led Y1</w:t>
            </w:r>
          </w:p>
        </w:tc>
        <w:tc>
          <w:tcPr>
            <w:tcW w:type="dxa" w:w="2880"/>
          </w:tcPr>
          <w:p>
            <w:r>
              <w:t>Part-time support Y2; contractor/dev + support Y3</w:t>
            </w:r>
          </w:p>
        </w:tc>
      </w:tr>
      <w:tr>
        <w:tc>
          <w:tcPr>
            <w:tcW w:type="dxa" w:w="2880"/>
          </w:tcPr>
          <w:p>
            <w:r>
              <w:t>VAT</w:t>
            </w:r>
          </w:p>
        </w:tc>
        <w:tc>
          <w:tcPr>
            <w:tcW w:type="dxa" w:w="2880"/>
          </w:tcPr>
          <w:p>
            <w:r>
              <w:t>Excluded</w:t>
            </w:r>
          </w:p>
        </w:tc>
        <w:tc>
          <w:tcPr>
            <w:tcW w:type="dxa" w:w="2880"/>
          </w:tcPr>
          <w:p>
            <w:r>
              <w:t>Prices/revenue shown VAT-exclusive; register/compliance separately</w:t>
            </w:r>
          </w:p>
        </w:tc>
      </w:tr>
    </w:tbl>
    <w:p/>
    <w:p>
      <w:pPr>
        <w:pStyle w:val="Heading1"/>
      </w:pPr>
      <w:r>
        <w:t>11. What was wrong in the prior projection</w:t>
      </w:r>
    </w:p>
    <w:p>
      <w:r>
        <w:rPr>
          <w:rFonts w:ascii="Calibri" w:hAnsi="Calibri"/>
          <w:b w:val="0"/>
          <w:sz w:val="22"/>
        </w:rPr>
        <w:t>Arithmetic: Year 1 showed Net Cash Flow TT$16,320, but Revenue TT$35,820 − Expenses TT$34,500 = TT$1,320. Closing cash (TT$1,320) already implied the correct net; the net line was mistyped.</w:t>
      </w:r>
    </w:p>
    <w:p>
      <w:r>
        <w:rPr>
          <w:rFonts w:ascii="Calibri" w:hAnsi="Calibri"/>
          <w:b w:val="0"/>
          <w:sz w:val="22"/>
        </w:rPr>
        <w:t>Internal conflict: Section 9 targeted 50 paying businesses by month 12 while Section 10 assumed only 15 average paying customers (~TT$36k revenue). Hitting 50 EOY with a linear ramp from month 2 would imply ~TT$60k subscription revenue in Year 1, not TT$36k.</w:t>
      </w:r>
    </w:p>
    <w:p>
      <w:r>
        <w:rPr>
          <w:rFonts w:ascii="Calibri" w:hAnsi="Calibri"/>
          <w:b w:val="0"/>
          <w:sz w:val="22"/>
        </w:rPr>
        <w:t>Missing financing line: Funding need of TT$25–40k was stated but never appeared in the cash-flow statement, so opening cash of 0 understated runway.</w:t>
      </w:r>
    </w:p>
    <w:p>
      <w:r>
        <w:rPr>
          <w:rFonts w:ascii="Calibri" w:hAnsi="Calibri"/>
          <w:b w:val="0"/>
          <w:sz w:val="22"/>
        </w:rPr>
        <w:t>Churn: 3% monthly churn was stated but not explicitly tied to EOY vs average customers; both are now labeled.</w:t>
      </w:r>
    </w:p>
    <w:p>
      <w:pPr>
        <w:pStyle w:val="Heading1"/>
      </w:pPr>
      <w:r>
        <w:t>12. Revised 3-Year Cash Flow Projection (TT$)</w:t>
      </w:r>
    </w:p>
    <w:p>
      <w:r>
        <w:rPr>
          <w:rFonts w:ascii="Calibri" w:hAnsi="Calibri"/>
          <w:b w:val="0"/>
          <w:sz w:val="22"/>
        </w:rPr>
        <w:t>Base case (conservative) — subscription revenue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Average paying customers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EOY paying customers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Subscription revenue</w:t>
            </w:r>
          </w:p>
        </w:tc>
        <w:tc>
          <w:tcPr>
            <w:tcW w:type="dxa" w:w="2160"/>
          </w:tcPr>
          <w:p>
            <w:r>
              <w:t>35,820</w:t>
            </w:r>
          </w:p>
        </w:tc>
        <w:tc>
          <w:tcPr>
            <w:tcW w:type="dxa" w:w="2160"/>
          </w:tcPr>
          <w:p>
            <w:r>
              <w:t>119,400</w:t>
            </w:r>
          </w:p>
        </w:tc>
        <w:tc>
          <w:tcPr>
            <w:tcW w:type="dxa" w:w="2160"/>
          </w:tcPr>
          <w:p>
            <w:r>
              <w:t>286,560</w:t>
            </w:r>
          </w:p>
        </w:tc>
      </w:tr>
      <w:tr>
        <w:tc>
          <w:tcPr>
            <w:tcW w:type="dxa" w:w="2160"/>
          </w:tcPr>
          <w:p>
            <w:r>
              <w:t>Total operating revenue</w:t>
            </w:r>
          </w:p>
        </w:tc>
        <w:tc>
          <w:tcPr>
            <w:tcW w:type="dxa" w:w="2160"/>
          </w:tcPr>
          <w:p>
            <w:r>
              <w:t>35,820</w:t>
            </w:r>
          </w:p>
        </w:tc>
        <w:tc>
          <w:tcPr>
            <w:tcW w:type="dxa" w:w="2160"/>
          </w:tcPr>
          <w:p>
            <w:r>
              <w:t>119,400</w:t>
            </w:r>
          </w:p>
        </w:tc>
        <w:tc>
          <w:tcPr>
            <w:tcW w:type="dxa" w:w="2160"/>
          </w:tcPr>
          <w:p>
            <w:r>
              <w:t>286,560</w:t>
            </w:r>
          </w:p>
        </w:tc>
      </w:tr>
      <w:tr>
        <w:tc>
          <w:tcPr>
            <w:tcW w:type="dxa" w:w="2160"/>
          </w:tcPr>
          <w:p>
            <w:r>
              <w:t>Hosting &amp; infrastructure</w:t>
            </w:r>
          </w:p>
        </w:tc>
        <w:tc>
          <w:tcPr>
            <w:tcW w:type="dxa" w:w="2160"/>
          </w:tcPr>
          <w:p>
            <w:r>
              <w:t>(6,000)</w:t>
            </w:r>
          </w:p>
        </w:tc>
        <w:tc>
          <w:tcPr>
            <w:tcW w:type="dxa" w:w="2160"/>
          </w:tcPr>
          <w:p>
            <w:r>
              <w:t>(12,000)</w:t>
            </w:r>
          </w:p>
        </w:tc>
        <w:tc>
          <w:tcPr>
            <w:tcW w:type="dxa" w:w="2160"/>
          </w:tcPr>
          <w:p>
            <w:r>
              <w:t>(24,000)</w:t>
            </w:r>
          </w:p>
        </w:tc>
      </w:tr>
      <w:tr>
        <w:tc>
          <w:tcPr>
            <w:tcW w:type="dxa" w:w="2160"/>
          </w:tcPr>
          <w:p>
            <w:r>
              <w:t>Domain, email, software</w:t>
            </w:r>
          </w:p>
        </w:tc>
        <w:tc>
          <w:tcPr>
            <w:tcW w:type="dxa" w:w="2160"/>
          </w:tcPr>
          <w:p>
            <w:r>
              <w:t>(3,000)</w:t>
            </w:r>
          </w:p>
        </w:tc>
        <w:tc>
          <w:tcPr>
            <w:tcW w:type="dxa" w:w="2160"/>
          </w:tcPr>
          <w:p>
            <w:r>
              <w:t>(4,000)</w:t>
            </w:r>
          </w:p>
        </w:tc>
        <w:tc>
          <w:tcPr>
            <w:tcW w:type="dxa" w:w="2160"/>
          </w:tcPr>
          <w:p>
            <w:r>
              <w:t>(6,000)</w:t>
            </w:r>
          </w:p>
        </w:tc>
      </w:tr>
      <w:tr>
        <w:tc>
          <w:tcPr>
            <w:tcW w:type="dxa" w:w="2160"/>
          </w:tcPr>
          <w:p>
            <w:r>
              <w:t>Marketing &amp; advertising</w:t>
            </w:r>
          </w:p>
        </w:tc>
        <w:tc>
          <w:tcPr>
            <w:tcW w:type="dxa" w:w="2160"/>
          </w:tcPr>
          <w:p>
            <w:r>
              <w:t>(8,000)</w:t>
            </w:r>
          </w:p>
        </w:tc>
        <w:tc>
          <w:tcPr>
            <w:tcW w:type="dxa" w:w="2160"/>
          </w:tcPr>
          <w:p>
            <w:r>
              <w:t>(18,000)</w:t>
            </w:r>
          </w:p>
        </w:tc>
        <w:tc>
          <w:tcPr>
            <w:tcW w:type="dxa" w:w="2160"/>
          </w:tcPr>
          <w:p>
            <w:r>
              <w:t>(36,000)</w:t>
            </w:r>
          </w:p>
        </w:tc>
      </w:tr>
      <w:tr>
        <w:tc>
          <w:tcPr>
            <w:tcW w:type="dxa" w:w="2160"/>
          </w:tcPr>
          <w:p>
            <w:r>
              <w:t>Customer support (tools / contractor)</w:t>
            </w:r>
          </w:p>
        </w:tc>
        <w:tc>
          <w:tcPr>
            <w:tcW w:type="dxa" w:w="2160"/>
          </w:tcPr>
          <w:p>
            <w:r>
              <w:t>(6,000)</w:t>
            </w:r>
          </w:p>
        </w:tc>
        <w:tc>
          <w:tcPr>
            <w:tcW w:type="dxa" w:w="2160"/>
          </w:tcPr>
          <w:p>
            <w:r>
              <w:t>(24,000)</w:t>
            </w:r>
          </w:p>
        </w:tc>
        <w:tc>
          <w:tcPr>
            <w:tcW w:type="dxa" w:w="2160"/>
          </w:tcPr>
          <w:p>
            <w:r>
              <w:t>(60,000)</w:t>
            </w:r>
          </w:p>
        </w:tc>
      </w:tr>
      <w:tr>
        <w:tc>
          <w:tcPr>
            <w:tcW w:type="dxa" w:w="2160"/>
          </w:tcPr>
          <w:p>
            <w:r>
              <w:t>Development tools</w:t>
            </w:r>
          </w:p>
        </w:tc>
        <w:tc>
          <w:tcPr>
            <w:tcW w:type="dxa" w:w="2160"/>
          </w:tcPr>
          <w:p>
            <w:r>
              <w:t>(4,000)</w:t>
            </w:r>
          </w:p>
        </w:tc>
        <w:tc>
          <w:tcPr>
            <w:tcW w:type="dxa" w:w="2160"/>
          </w:tcPr>
          <w:p>
            <w:r>
              <w:t>(6,000)</w:t>
            </w:r>
          </w:p>
        </w:tc>
        <w:tc>
          <w:tcPr>
            <w:tcW w:type="dxa" w:w="2160"/>
          </w:tcPr>
          <w:p>
            <w:r>
              <w:t>(10,000)</w:t>
            </w:r>
          </w:p>
        </w:tc>
      </w:tr>
      <w:tr>
        <w:tc>
          <w:tcPr>
            <w:tcW w:type="dxa" w:w="2160"/>
          </w:tcPr>
          <w:p>
            <w:r>
              <w:t>Legal &amp; accounting</w:t>
            </w:r>
          </w:p>
        </w:tc>
        <w:tc>
          <w:tcPr>
            <w:tcW w:type="dxa" w:w="2160"/>
          </w:tcPr>
          <w:p>
            <w:r>
              <w:t>(3,000)</w:t>
            </w:r>
          </w:p>
        </w:tc>
        <w:tc>
          <w:tcPr>
            <w:tcW w:type="dxa" w:w="2160"/>
          </w:tcPr>
          <w:p>
            <w:r>
              <w:t>(5,000)</w:t>
            </w:r>
          </w:p>
        </w:tc>
        <w:tc>
          <w:tcPr>
            <w:tcW w:type="dxa" w:w="2160"/>
          </w:tcPr>
          <w:p>
            <w:r>
              <w:t>(8,000)</w:t>
            </w:r>
          </w:p>
        </w:tc>
      </w:tr>
      <w:tr>
        <w:tc>
          <w:tcPr>
            <w:tcW w:type="dxa" w:w="2160"/>
          </w:tcPr>
          <w:p>
            <w:r>
              <w:t>Travel &amp; sales</w:t>
            </w:r>
          </w:p>
        </w:tc>
        <w:tc>
          <w:tcPr>
            <w:tcW w:type="dxa" w:w="2160"/>
          </w:tcPr>
          <w:p>
            <w:r>
              <w:t>(2,000)</w:t>
            </w:r>
          </w:p>
        </w:tc>
        <w:tc>
          <w:tcPr>
            <w:tcW w:type="dxa" w:w="2160"/>
          </w:tcPr>
          <w:p>
            <w:r>
              <w:t>(6,000)</w:t>
            </w:r>
          </w:p>
        </w:tc>
        <w:tc>
          <w:tcPr>
            <w:tcW w:type="dxa" w:w="2160"/>
          </w:tcPr>
          <w:p>
            <w:r>
              <w:t>(12,000)</w:t>
            </w:r>
          </w:p>
        </w:tc>
      </w:tr>
      <w:tr>
        <w:tc>
          <w:tcPr>
            <w:tcW w:type="dxa" w:w="2160"/>
          </w:tcPr>
          <w:p>
            <w:r>
              <w:t>Part-time / contract staff</w:t>
            </w:r>
          </w:p>
        </w:tc>
        <w:tc>
          <w:tcPr>
            <w:tcW w:type="dxa" w:w="2160"/>
          </w:tcPr>
          <w:p>
            <w:r>
              <w:t>(0)</w:t>
            </w:r>
          </w:p>
        </w:tc>
        <w:tc>
          <w:tcPr>
            <w:tcW w:type="dxa" w:w="2160"/>
          </w:tcPr>
          <w:p>
            <w:r>
              <w:t>(24,000)</w:t>
            </w:r>
          </w:p>
        </w:tc>
        <w:tc>
          <w:tcPr>
            <w:tcW w:type="dxa" w:w="2160"/>
          </w:tcPr>
          <w:p>
            <w:r>
              <w:t>(72,000)</w:t>
            </w:r>
          </w:p>
        </w:tc>
      </w:tr>
      <w:tr>
        <w:tc>
          <w:tcPr>
            <w:tcW w:type="dxa" w:w="2160"/>
          </w:tcPr>
          <w:p>
            <w:r>
              <w:t>Miscellaneous</w:t>
            </w:r>
          </w:p>
        </w:tc>
        <w:tc>
          <w:tcPr>
            <w:tcW w:type="dxa" w:w="2160"/>
          </w:tcPr>
          <w:p>
            <w:r>
              <w:t>(2,500)</w:t>
            </w:r>
          </w:p>
        </w:tc>
        <w:tc>
          <w:tcPr>
            <w:tcW w:type="dxa" w:w="2160"/>
          </w:tcPr>
          <w:p>
            <w:r>
              <w:t>(5,000)</w:t>
            </w:r>
          </w:p>
        </w:tc>
        <w:tc>
          <w:tcPr>
            <w:tcW w:type="dxa" w:w="2160"/>
          </w:tcPr>
          <w:p>
            <w:r>
              <w:t>(8,000)</w:t>
            </w:r>
          </w:p>
        </w:tc>
      </w:tr>
      <w:tr>
        <w:tc>
          <w:tcPr>
            <w:tcW w:type="dxa" w:w="2160"/>
          </w:tcPr>
          <w:p>
            <w:r>
              <w:t>Total operating expenses</w:t>
            </w:r>
          </w:p>
        </w:tc>
        <w:tc>
          <w:tcPr>
            <w:tcW w:type="dxa" w:w="2160"/>
          </w:tcPr>
          <w:p>
            <w:r>
              <w:t>(34,500)</w:t>
            </w:r>
          </w:p>
        </w:tc>
        <w:tc>
          <w:tcPr>
            <w:tcW w:type="dxa" w:w="2160"/>
          </w:tcPr>
          <w:p>
            <w:r>
              <w:t>(104,000)</w:t>
            </w:r>
          </w:p>
        </w:tc>
        <w:tc>
          <w:tcPr>
            <w:tcW w:type="dxa" w:w="2160"/>
          </w:tcPr>
          <w:p>
            <w:r>
              <w:t>(236,000)</w:t>
            </w:r>
          </w:p>
        </w:tc>
      </w:tr>
      <w:tr>
        <w:tc>
          <w:tcPr>
            <w:tcW w:type="dxa" w:w="2160"/>
          </w:tcPr>
          <w:p>
            <w:r>
              <w:t>Operating cash flow</w:t>
            </w:r>
          </w:p>
        </w:tc>
        <w:tc>
          <w:tcPr>
            <w:tcW w:type="dxa" w:w="2160"/>
          </w:tcPr>
          <w:p>
            <w:r>
              <w:t>1,320</w:t>
            </w:r>
          </w:p>
        </w:tc>
        <w:tc>
          <w:tcPr>
            <w:tcW w:type="dxa" w:w="2160"/>
          </w:tcPr>
          <w:p>
            <w:r>
              <w:t>15,400</w:t>
            </w:r>
          </w:p>
        </w:tc>
        <w:tc>
          <w:tcPr>
            <w:tcW w:type="dxa" w:w="2160"/>
          </w:tcPr>
          <w:p>
            <w:r>
              <w:t>50,560</w:t>
            </w:r>
          </w:p>
        </w:tc>
      </w:tr>
      <w:tr>
        <w:tc>
          <w:tcPr>
            <w:tcW w:type="dxa" w:w="2160"/>
          </w:tcPr>
          <w:p>
            <w:r>
              <w:t>Seed capital (financing inflow)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Net cash flow</w:t>
            </w:r>
          </w:p>
        </w:tc>
        <w:tc>
          <w:tcPr>
            <w:tcW w:type="dxa" w:w="2160"/>
          </w:tcPr>
          <w:p>
            <w:r>
              <w:t>31,320</w:t>
            </w:r>
          </w:p>
        </w:tc>
        <w:tc>
          <w:tcPr>
            <w:tcW w:type="dxa" w:w="2160"/>
          </w:tcPr>
          <w:p>
            <w:r>
              <w:t>15,400</w:t>
            </w:r>
          </w:p>
        </w:tc>
        <w:tc>
          <w:tcPr>
            <w:tcW w:type="dxa" w:w="2160"/>
          </w:tcPr>
          <w:p>
            <w:r>
              <w:t>50,560</w:t>
            </w:r>
          </w:p>
        </w:tc>
      </w:tr>
      <w:tr>
        <w:tc>
          <w:tcPr>
            <w:tcW w:type="dxa" w:w="2160"/>
          </w:tcPr>
          <w:p>
            <w:r>
              <w:t>Opening cash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31,320</w:t>
            </w:r>
          </w:p>
        </w:tc>
        <w:tc>
          <w:tcPr>
            <w:tcW w:type="dxa" w:w="2160"/>
          </w:tcPr>
          <w:p>
            <w:r>
              <w:t>46,720</w:t>
            </w:r>
          </w:p>
        </w:tc>
      </w:tr>
      <w:tr>
        <w:tc>
          <w:tcPr>
            <w:tcW w:type="dxa" w:w="2160"/>
          </w:tcPr>
          <w:p>
            <w:r>
              <w:t>Closing cash</w:t>
            </w:r>
          </w:p>
        </w:tc>
        <w:tc>
          <w:tcPr>
            <w:tcW w:type="dxa" w:w="2160"/>
          </w:tcPr>
          <w:p>
            <w:r>
              <w:t>31,320</w:t>
            </w:r>
          </w:p>
        </w:tc>
        <w:tc>
          <w:tcPr>
            <w:tcW w:type="dxa" w:w="2160"/>
          </w:tcPr>
          <w:p>
            <w:r>
              <w:t>46,720</w:t>
            </w:r>
          </w:p>
        </w:tc>
        <w:tc>
          <w:tcPr>
            <w:tcW w:type="dxa" w:w="2160"/>
          </w:tcPr>
          <w:p>
            <w:r>
              <w:t>97,280</w:t>
            </w:r>
          </w:p>
        </w:tc>
      </w:tr>
    </w:tbl>
    <w:p/>
    <w:p>
      <w:pPr>
        <w:pStyle w:val="Heading2"/>
      </w:pPr>
      <w:r>
        <w:t>12b. Upside case (if original “50 / 150 / 300” milestones are hit)</w:t>
      </w:r>
    </w:p>
    <w:p>
      <w:r>
        <w:rPr>
          <w:rFonts w:ascii="Calibri" w:hAnsi="Calibri"/>
          <w:b w:val="0"/>
          <w:sz w:val="22"/>
        </w:rPr>
        <w:t>Illustrative only — not the base case. Subscription-only.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EOY paying customers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Approx. average paying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Subscription revenue @ TT$199</w:t>
            </w:r>
          </w:p>
        </w:tc>
        <w:tc>
          <w:tcPr>
            <w:tcW w:type="dxa" w:w="2160"/>
          </w:tcPr>
          <w:p>
            <w:r>
              <w:t>59,700</w:t>
            </w:r>
          </w:p>
        </w:tc>
        <w:tc>
          <w:tcPr>
            <w:tcW w:type="dxa" w:w="2160"/>
          </w:tcPr>
          <w:p>
            <w:r>
              <w:t>238,800</w:t>
            </w:r>
          </w:p>
        </w:tc>
        <w:tc>
          <w:tcPr>
            <w:tcW w:type="dxa" w:w="2160"/>
          </w:tcPr>
          <w:p>
            <w:r>
              <w:t>537,300</w:t>
            </w:r>
          </w:p>
        </w:tc>
      </w:tr>
      <w:tr>
        <w:tc>
          <w:tcPr>
            <w:tcW w:type="dxa" w:w="2160"/>
          </w:tcPr>
          <w:p>
            <w:r>
              <w:t>vs base subscription</w:t>
            </w:r>
          </w:p>
        </w:tc>
        <w:tc>
          <w:tcPr>
            <w:tcW w:type="dxa" w:w="2160"/>
          </w:tcPr>
          <w:p>
            <w:r>
              <w:t>+23,880</w:t>
            </w:r>
          </w:p>
        </w:tc>
        <w:tc>
          <w:tcPr>
            <w:tcW w:type="dxa" w:w="2160"/>
          </w:tcPr>
          <w:p>
            <w:r>
              <w:t>+119,400</w:t>
            </w:r>
          </w:p>
        </w:tc>
        <w:tc>
          <w:tcPr>
            <w:tcW w:type="dxa" w:w="2160"/>
          </w:tcPr>
          <w:p>
            <w:r>
              <w:t>+250,740</w:t>
            </w:r>
          </w:p>
        </w:tc>
      </w:tr>
    </w:tbl>
    <w:p/>
    <w:p>
      <w:r>
        <w:rPr>
          <w:rFonts w:ascii="Calibri" w:hAnsi="Calibri"/>
          <w:b w:val="0"/>
          <w:sz w:val="22"/>
        </w:rPr>
        <w:t>Upside would require materially higher marketing/support spend than the base expense table; do not pair upside revenue with base costs.</w:t>
      </w:r>
    </w:p>
    <w:p>
      <w:pPr>
        <w:pStyle w:val="Heading1"/>
      </w:pPr>
      <w:r>
        <w:t>13. Unit Economics (directional)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ARPU</w:t>
            </w:r>
          </w:p>
        </w:tc>
        <w:tc>
          <w:tcPr>
            <w:tcW w:type="dxa" w:w="2880"/>
          </w:tcPr>
          <w:p>
            <w:r>
              <w:t>TT$199 / mo</w:t>
            </w:r>
          </w:p>
        </w:tc>
        <w:tc>
          <w:tcPr>
            <w:tcW w:type="dxa" w:w="2880"/>
          </w:tcPr>
          <w:p>
            <w:r>
              <w:t>Flagship Business plan</w:t>
            </w:r>
          </w:p>
        </w:tc>
      </w:tr>
      <w:tr>
        <w:tc>
          <w:tcPr>
            <w:tcW w:type="dxa" w:w="2880"/>
          </w:tcPr>
          <w:p>
            <w:r>
              <w:t>Gross churn</w:t>
            </w:r>
          </w:p>
        </w:tc>
        <w:tc>
          <w:tcPr>
            <w:tcW w:type="dxa" w:w="2880"/>
          </w:tcPr>
          <w:p>
            <w:r>
              <w:t>3% / mo</w:t>
            </w:r>
          </w:p>
        </w:tc>
        <w:tc>
          <w:tcPr>
            <w:tcW w:type="dxa" w:w="2880"/>
          </w:tcPr>
          <w:p>
            <w:r>
              <w:t>Assumption</w:t>
            </w:r>
          </w:p>
        </w:tc>
      </w:tr>
      <w:tr>
        <w:tc>
          <w:tcPr>
            <w:tcW w:type="dxa" w:w="2880"/>
          </w:tcPr>
          <w:p>
            <w:r>
              <w:t>Gross revenue LTV</w:t>
            </w:r>
          </w:p>
        </w:tc>
        <w:tc>
          <w:tcPr>
            <w:tcW w:type="dxa" w:w="2880"/>
          </w:tcPr>
          <w:p>
            <w:r>
              <w:t>~TT$6,633</w:t>
            </w:r>
          </w:p>
        </w:tc>
        <w:tc>
          <w:tcPr>
            <w:tcW w:type="dxa" w:w="2880"/>
          </w:tcPr>
          <w:p>
            <w:r>
              <w:t>199 / 0.03 (pre-COGS, pre-VAT)</w:t>
            </w:r>
          </w:p>
        </w:tc>
      </w:tr>
      <w:tr>
        <w:tc>
          <w:tcPr>
            <w:tcW w:type="dxa" w:w="2880"/>
          </w:tcPr>
          <w:p>
            <w:r>
              <w:t>Y1 marketing CAC (rough)</w:t>
            </w:r>
          </w:p>
        </w:tc>
        <w:tc>
          <w:tcPr>
            <w:tcW w:type="dxa" w:w="2880"/>
          </w:tcPr>
          <w:p>
            <w:r>
              <w:t>~TT$320–500</w:t>
            </w:r>
          </w:p>
        </w:tc>
        <w:tc>
          <w:tcPr>
            <w:tcW w:type="dxa" w:w="2880"/>
          </w:tcPr>
          <w:p>
            <w:r>
              <w:t>TT$8,000 marketing / ~25 EOY logos (excludes founder time)</w:t>
            </w:r>
          </w:p>
        </w:tc>
      </w:tr>
      <w:tr>
        <w:tc>
          <w:tcPr>
            <w:tcW w:type="dxa" w:w="2880"/>
          </w:tcPr>
          <w:p>
            <w:r>
              <w:t>LTV : CAC</w:t>
            </w:r>
          </w:p>
        </w:tc>
        <w:tc>
          <w:tcPr>
            <w:tcW w:type="dxa" w:w="2880"/>
          </w:tcPr>
          <w:p>
            <w:r>
              <w:t>&gt;10 : 1 early</w:t>
            </w:r>
          </w:p>
        </w:tc>
        <w:tc>
          <w:tcPr>
            <w:tcW w:type="dxa" w:w="2880"/>
          </w:tcPr>
          <w:p>
            <w:r>
              <w:t>Distorted while founder does sales; expect CAC to rise with paid acquisition</w:t>
            </w:r>
          </w:p>
        </w:tc>
      </w:tr>
    </w:tbl>
    <w:p/>
    <w:p>
      <w:r>
        <w:rPr>
          <w:rFonts w:ascii="Calibri" w:hAnsi="Calibri"/>
          <w:b w:val="0"/>
          <w:sz w:val="22"/>
        </w:rPr>
        <w:t>Treat LTV:CAC as directional. Founder-led sales understate true CAC. Revisit after 20+ paid logos with tracked acquisition channel costs.</w:t>
      </w:r>
    </w:p>
    <w:p>
      <w:pPr>
        <w:pStyle w:val="Heading1"/>
      </w:pPr>
      <w:r>
        <w:t>14. Projection Commentary</w:t>
      </w:r>
    </w:p>
    <w:p>
      <w:r>
        <w:rPr>
          <w:rFonts w:ascii="Calibri" w:hAnsi="Calibri"/>
          <w:b w:val="0"/>
          <w:sz w:val="22"/>
        </w:rPr>
        <w:t>Base case stays intentionally conservative: founder-led build/support in Year 1, modest Caribbean SME adoption, and average paying customers of 15 / 50 / 120.</w:t>
      </w:r>
    </w:p>
    <w:p>
      <w:r>
        <w:rPr>
          <w:rFonts w:ascii="Calibri" w:hAnsi="Calibri"/>
          <w:b w:val="0"/>
          <w:sz w:val="22"/>
        </w:rPr>
        <w:t>Year 1 operating surplus is thin (~TT$1.3k). Seed capital of ~TT$30k funds branding, legal setup, hosting, and early marketing and is now explicit in the cash-flow statement.</w:t>
      </w:r>
    </w:p>
    <w:p>
      <w:r>
        <w:rPr>
          <w:rFonts w:ascii="Calibri" w:hAnsi="Calibri"/>
          <w:b w:val="0"/>
          <w:sz w:val="22"/>
        </w:rPr>
        <w:t>Year 2–3 scale assumes paid acquisition and part-time help. Staff lines remain lean (Y2 ~TT$2,000/month contract support; Y3 ~TT$6,000/month plus higher support budget)—viable only with high product-led self-serve and WhatsApp-based support. If hiring full-time in T&amp;T, expenses must rise.</w:t>
      </w:r>
    </w:p>
    <w:p>
      <w:r>
        <w:rPr>
          <w:rFonts w:ascii="Calibri" w:hAnsi="Calibri"/>
          <w:b w:val="0"/>
          <w:sz w:val="22"/>
        </w:rPr>
        <w:t>No corporate income tax, VAT remittances, or payment-processing fees are modeled yet; add before investor-grade diligence.</w:t>
      </w:r>
    </w:p>
    <w:p>
      <w:pPr>
        <w:pStyle w:val="Heading1"/>
      </w:pPr>
      <w:r>
        <w:t>15. Funding Requirement</w:t>
      </w:r>
    </w:p>
    <w:p>
      <w:r>
        <w:rPr>
          <w:rFonts w:ascii="Calibri" w:hAnsi="Calibri"/>
          <w:b w:val="0"/>
          <w:sz w:val="22"/>
        </w:rPr>
        <w:t>Recommended launch capital: TT$25,000–TT$40,000 (model uses TT$30,000) for branding, hosting, marketing, legal/company setup, and initial operating buffer. Not required for a pure founder-bootstrapped path, but bootstrapping leaves only ~TT$1.3k Year-1 operating cushion.</w:t>
      </w:r>
    </w:p>
    <w:p>
      <w:pPr>
        <w:pStyle w:val="Heading1"/>
      </w:pPr>
      <w:r>
        <w:t>16. Key Risks</w:t>
      </w:r>
    </w:p>
    <w:p>
      <w:r>
        <w:rPr>
          <w:rFonts w:ascii="Calibri" w:hAnsi="Calibri"/>
          <w:b w:val="0"/>
          <w:sz w:val="22"/>
        </w:rPr>
        <w:t>Slower adoption · higher churn than 3% · competition from QuickBooks/Xero/Wave · WhatsApp API cost/policy changes · founder capacity · underbuilt support at scale · FX/regional expansion complexity · tax/VAT compliance burden</w:t>
      </w:r>
    </w:p>
    <w:p>
      <w:pPr>
        <w:pStyle w:val="Heading1"/>
      </w:pPr>
      <w:r>
        <w:t>17. Conclusion</w:t>
      </w:r>
    </w:p>
    <w:p>
      <w:r>
        <w:rPr>
          <w:rFonts w:ascii="Calibri" w:hAnsi="Calibri"/>
          <w:b w:val="0"/>
          <w:sz w:val="22"/>
        </w:rPr>
        <w:t>CBManagement can become a lightweight Caribbean business OS for SMEs. Recurring subscription revenue alone can fund gradual growth when paired with modest seed capital, but the prior Year-1 net cash figure overstated operating performance by TT$15,000. The revised model preserves the conservative customer path, fixes the arithmetic, uses subscription-only pricing, adds seed capital to the cash-flow statement, and realigns milestones so the story is internally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