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C0DDA" w14:textId="41F19907" w:rsidR="004E2D52" w:rsidRPr="004E2D52" w:rsidRDefault="004E2D52" w:rsidP="004E2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</w:rPr>
        <w:t>starsz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plik</w:t>
      </w:r>
      <w:r w:rsidRPr="004E2D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E2D52">
        <w:rPr>
          <w:rFonts w:ascii="Courier New" w:eastAsia="Times New Roman" w:hAnsi="Courier New" w:cs="Courier New"/>
          <w:sz w:val="20"/>
          <w:szCs w:val="20"/>
        </w:rPr>
        <w:t>compare_top3_20260206_091156.xlsx</w:t>
      </w:r>
      <w:r w:rsidRPr="004E2D52">
        <w:rPr>
          <w:rFonts w:ascii="Times New Roman" w:eastAsia="Times New Roman" w:hAnsi="Times New Roman" w:cs="Times New Roman"/>
          <w:sz w:val="24"/>
          <w:szCs w:val="24"/>
        </w:rPr>
        <w:t xml:space="preserve"> (4219 requestów)</w:t>
      </w:r>
    </w:p>
    <w:p w14:paraId="52DC2F5A" w14:textId="189483B8" w:rsidR="004E2D52" w:rsidRPr="004E2D52" w:rsidRDefault="004E2D52" w:rsidP="004E2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</w:rPr>
        <w:t>nowsz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</w:rPr>
        <w:t>plik</w:t>
      </w:r>
      <w:r w:rsidRPr="004E2D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E2D52">
        <w:rPr>
          <w:rFonts w:ascii="Courier New" w:eastAsia="Times New Roman" w:hAnsi="Courier New" w:cs="Courier New"/>
          <w:sz w:val="20"/>
          <w:szCs w:val="20"/>
        </w:rPr>
        <w:t>compare_top3_20260220_053319.xlsx</w:t>
      </w:r>
      <w:r w:rsidRPr="004E2D52">
        <w:rPr>
          <w:rFonts w:ascii="Times New Roman" w:eastAsia="Times New Roman" w:hAnsi="Times New Roman" w:cs="Times New Roman"/>
          <w:sz w:val="24"/>
          <w:szCs w:val="24"/>
        </w:rPr>
        <w:t xml:space="preserve"> (13853 requestów)</w:t>
      </w:r>
    </w:p>
    <w:p w14:paraId="6411614A" w14:textId="77777777" w:rsidR="004E2D52" w:rsidRPr="004E2D52" w:rsidRDefault="004E2D52" w:rsidP="004E2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l-PL"/>
        </w:rPr>
      </w:pPr>
      <w:r w:rsidRPr="004E2D52">
        <w:rPr>
          <w:rFonts w:ascii="Times New Roman" w:eastAsia="Times New Roman" w:hAnsi="Times New Roman" w:cs="Times New Roman"/>
          <w:b/>
          <w:bCs/>
          <w:sz w:val="36"/>
          <w:szCs w:val="36"/>
          <w:lang w:val="pl-PL"/>
        </w:rPr>
        <w:t>1) Wynik biznesowy (proxy revenue) — PG vs kurekj</w:t>
      </w:r>
    </w:p>
    <w:p w14:paraId="09CE4CAC" w14:textId="77777777" w:rsidR="004E2D52" w:rsidRPr="004E2D52" w:rsidRDefault="004E2D52" w:rsidP="004E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>To jest najważniejsze, bo odpowiada na pytanie „czy kurekj dalej lepszy na dużych danych”.</w:t>
      </w:r>
    </w:p>
    <w:p w14:paraId="4A600E78" w14:textId="77777777" w:rsidR="004E2D52" w:rsidRPr="004E2D52" w:rsidRDefault="004E2D52" w:rsidP="004E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</w:rPr>
        <w:t>Średni expected revenue / request (im wyżej, tym lepiej):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981"/>
        <w:gridCol w:w="600"/>
        <w:gridCol w:w="807"/>
        <w:gridCol w:w="2149"/>
      </w:tblGrid>
      <w:tr w:rsidR="004E2D52" w:rsidRPr="004E2D52" w14:paraId="5DBFFDD2" w14:textId="77777777" w:rsidTr="004E2D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7DCF8" w14:textId="77777777" w:rsidR="004E2D52" w:rsidRPr="004E2D52" w:rsidRDefault="004E2D52" w:rsidP="004E2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Plik</w:t>
            </w:r>
          </w:p>
        </w:tc>
        <w:tc>
          <w:tcPr>
            <w:tcW w:w="0" w:type="auto"/>
            <w:vAlign w:val="center"/>
            <w:hideMark/>
          </w:tcPr>
          <w:p w14:paraId="48850BF5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33288521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PG</w:t>
            </w:r>
          </w:p>
        </w:tc>
        <w:tc>
          <w:tcPr>
            <w:tcW w:w="0" w:type="auto"/>
            <w:vAlign w:val="center"/>
            <w:hideMark/>
          </w:tcPr>
          <w:p w14:paraId="348815A3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Kurekj</w:t>
            </w:r>
          </w:p>
        </w:tc>
        <w:tc>
          <w:tcPr>
            <w:tcW w:w="0" w:type="auto"/>
            <w:vAlign w:val="center"/>
            <w:hideMark/>
          </w:tcPr>
          <w:p w14:paraId="63B2CF1A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Uplift Kurekj vs PG</w:t>
            </w:r>
          </w:p>
        </w:tc>
      </w:tr>
      <w:tr w:rsidR="004E2D52" w:rsidRPr="004E2D52" w14:paraId="5ED59929" w14:textId="77777777" w:rsidTr="004E2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95847" w14:textId="77777777" w:rsidR="004E2D52" w:rsidRPr="004E2D52" w:rsidRDefault="004E2D52" w:rsidP="004E2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2026-02-06</w:t>
            </w:r>
          </w:p>
        </w:tc>
        <w:tc>
          <w:tcPr>
            <w:tcW w:w="0" w:type="auto"/>
            <w:vAlign w:val="center"/>
            <w:hideMark/>
          </w:tcPr>
          <w:p w14:paraId="2F3C605B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4,219</w:t>
            </w:r>
          </w:p>
        </w:tc>
        <w:tc>
          <w:tcPr>
            <w:tcW w:w="0" w:type="auto"/>
            <w:vAlign w:val="center"/>
            <w:hideMark/>
          </w:tcPr>
          <w:p w14:paraId="3A493E41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66.73</w:t>
            </w:r>
          </w:p>
        </w:tc>
        <w:tc>
          <w:tcPr>
            <w:tcW w:w="0" w:type="auto"/>
            <w:vAlign w:val="center"/>
            <w:hideMark/>
          </w:tcPr>
          <w:p w14:paraId="26E60A1F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99.05</w:t>
            </w:r>
          </w:p>
        </w:tc>
        <w:tc>
          <w:tcPr>
            <w:tcW w:w="0" w:type="auto"/>
            <w:vAlign w:val="center"/>
            <w:hideMark/>
          </w:tcPr>
          <w:p w14:paraId="621F1E2D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+48.45%</w:t>
            </w:r>
          </w:p>
        </w:tc>
      </w:tr>
      <w:tr w:rsidR="004E2D52" w:rsidRPr="004E2D52" w14:paraId="4951928A" w14:textId="77777777" w:rsidTr="004E2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9A8D" w14:textId="77777777" w:rsidR="004E2D52" w:rsidRPr="004E2D52" w:rsidRDefault="004E2D52" w:rsidP="004E2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2026-02-20</w:t>
            </w:r>
          </w:p>
        </w:tc>
        <w:tc>
          <w:tcPr>
            <w:tcW w:w="0" w:type="auto"/>
            <w:vAlign w:val="center"/>
            <w:hideMark/>
          </w:tcPr>
          <w:p w14:paraId="1272F934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13,853</w:t>
            </w:r>
          </w:p>
        </w:tc>
        <w:tc>
          <w:tcPr>
            <w:tcW w:w="0" w:type="auto"/>
            <w:vAlign w:val="center"/>
            <w:hideMark/>
          </w:tcPr>
          <w:p w14:paraId="5FCEFB88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28.85</w:t>
            </w:r>
          </w:p>
        </w:tc>
        <w:tc>
          <w:tcPr>
            <w:tcW w:w="0" w:type="auto"/>
            <w:vAlign w:val="center"/>
            <w:hideMark/>
          </w:tcPr>
          <w:p w14:paraId="229480BA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59.60</w:t>
            </w:r>
          </w:p>
        </w:tc>
        <w:tc>
          <w:tcPr>
            <w:tcW w:w="0" w:type="auto"/>
            <w:vAlign w:val="center"/>
            <w:hideMark/>
          </w:tcPr>
          <w:p w14:paraId="361B1DC3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+106.58%</w:t>
            </w:r>
          </w:p>
        </w:tc>
      </w:tr>
    </w:tbl>
    <w:p w14:paraId="596F83A9" w14:textId="46E99793" w:rsidR="004E2D52" w:rsidRPr="004E2D52" w:rsidRDefault="004E2D52" w:rsidP="004E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W obu zbiorach 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  <w:lang w:val="pl-PL"/>
        </w:rPr>
        <w:t>kurekj wygrywa z PG</w:t>
      </w: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. Co więcej, na szerokim zakresie danych przewaga 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  <w:lang w:val="pl-PL"/>
        </w:rPr>
        <w:t>nie znika</w:t>
      </w: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, tylko w tym proxy wygląda nawet 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  <w:lang w:val="pl-PL"/>
        </w:rPr>
        <w:t>większa</w:t>
      </w: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(choć poziomy bezwzględne spadły dla obu algorytmów).</w:t>
      </w:r>
    </w:p>
    <w:p w14:paraId="261AC7D5" w14:textId="77777777" w:rsidR="004E2D52" w:rsidRPr="004E2D52" w:rsidRDefault="004E2D52" w:rsidP="004E2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l-PL"/>
        </w:rPr>
      </w:pPr>
      <w:r w:rsidRPr="004E2D52">
        <w:rPr>
          <w:rFonts w:ascii="Times New Roman" w:eastAsia="Times New Roman" w:hAnsi="Times New Roman" w:cs="Times New Roman"/>
          <w:b/>
          <w:bCs/>
          <w:sz w:val="36"/>
          <w:szCs w:val="36"/>
          <w:lang w:val="pl-PL"/>
        </w:rPr>
        <w:t>2) “Win-rate” per request — kto częściej jest lepszy</w:t>
      </w:r>
    </w:p>
    <w:p w14:paraId="6C70FD42" w14:textId="77777777" w:rsidR="004E2D52" w:rsidRPr="004E2D52" w:rsidRDefault="004E2D52" w:rsidP="004E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Z arkusza </w:t>
      </w:r>
      <w:r w:rsidRPr="004E2D52">
        <w:rPr>
          <w:rFonts w:ascii="Courier New" w:eastAsia="Times New Roman" w:hAnsi="Courier New" w:cs="Courier New"/>
          <w:sz w:val="20"/>
          <w:szCs w:val="20"/>
          <w:lang w:val="pl-PL"/>
        </w:rPr>
        <w:t>profit_comparison</w:t>
      </w: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(sekcja </w:t>
      </w:r>
      <w:r w:rsidRPr="004E2D52">
        <w:rPr>
          <w:rFonts w:ascii="Times New Roman" w:eastAsia="Times New Roman" w:hAnsi="Times New Roman" w:cs="Times New Roman"/>
          <w:i/>
          <w:iCs/>
          <w:sz w:val="24"/>
          <w:szCs w:val="24"/>
          <w:lang w:val="pl-PL"/>
        </w:rPr>
        <w:t>PG vs KUREKJ (per-request win rate...)</w:t>
      </w: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>), masz policzone odsetki requestów, gdzie PG ma wyższy wynik vs gdzie kurekj ma wyższy: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040"/>
        <w:gridCol w:w="1453"/>
        <w:gridCol w:w="815"/>
      </w:tblGrid>
      <w:tr w:rsidR="004E2D52" w:rsidRPr="004E2D52" w14:paraId="7E3D49B8" w14:textId="77777777" w:rsidTr="004E2D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0C6BC" w14:textId="77777777" w:rsidR="004E2D52" w:rsidRPr="004E2D52" w:rsidRDefault="004E2D52" w:rsidP="004E2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Plik</w:t>
            </w:r>
          </w:p>
        </w:tc>
        <w:tc>
          <w:tcPr>
            <w:tcW w:w="0" w:type="auto"/>
            <w:vAlign w:val="center"/>
            <w:hideMark/>
          </w:tcPr>
          <w:p w14:paraId="29C4FA95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PG wyżej</w:t>
            </w:r>
          </w:p>
        </w:tc>
        <w:tc>
          <w:tcPr>
            <w:tcW w:w="0" w:type="auto"/>
            <w:vAlign w:val="center"/>
            <w:hideMark/>
          </w:tcPr>
          <w:p w14:paraId="04CDE945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Kurekj wyżej</w:t>
            </w:r>
          </w:p>
        </w:tc>
        <w:tc>
          <w:tcPr>
            <w:tcW w:w="0" w:type="auto"/>
            <w:vAlign w:val="center"/>
            <w:hideMark/>
          </w:tcPr>
          <w:p w14:paraId="6A7AA5F3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Remis</w:t>
            </w:r>
          </w:p>
        </w:tc>
      </w:tr>
      <w:tr w:rsidR="004E2D52" w:rsidRPr="004E2D52" w14:paraId="30925941" w14:textId="77777777" w:rsidTr="004E2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0E02" w14:textId="77777777" w:rsidR="004E2D52" w:rsidRPr="004E2D52" w:rsidRDefault="004E2D52" w:rsidP="004E2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2026-02-06</w:t>
            </w:r>
          </w:p>
        </w:tc>
        <w:tc>
          <w:tcPr>
            <w:tcW w:w="0" w:type="auto"/>
            <w:vAlign w:val="center"/>
            <w:hideMark/>
          </w:tcPr>
          <w:p w14:paraId="5120276F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8.94%</w:t>
            </w:r>
          </w:p>
        </w:tc>
        <w:tc>
          <w:tcPr>
            <w:tcW w:w="0" w:type="auto"/>
            <w:vAlign w:val="center"/>
            <w:hideMark/>
          </w:tcPr>
          <w:p w14:paraId="5995BCD1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54.21%</w:t>
            </w:r>
          </w:p>
        </w:tc>
        <w:tc>
          <w:tcPr>
            <w:tcW w:w="0" w:type="auto"/>
            <w:vAlign w:val="center"/>
            <w:hideMark/>
          </w:tcPr>
          <w:p w14:paraId="6079828E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36.86%</w:t>
            </w:r>
          </w:p>
        </w:tc>
      </w:tr>
      <w:tr w:rsidR="004E2D52" w:rsidRPr="004E2D52" w14:paraId="6D7F10A0" w14:textId="77777777" w:rsidTr="004E2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DA04" w14:textId="77777777" w:rsidR="004E2D52" w:rsidRPr="004E2D52" w:rsidRDefault="004E2D52" w:rsidP="004E2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2026-02-20</w:t>
            </w:r>
          </w:p>
        </w:tc>
        <w:tc>
          <w:tcPr>
            <w:tcW w:w="0" w:type="auto"/>
            <w:vAlign w:val="center"/>
            <w:hideMark/>
          </w:tcPr>
          <w:p w14:paraId="5F96CFA0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3.76%</w:t>
            </w:r>
          </w:p>
        </w:tc>
        <w:tc>
          <w:tcPr>
            <w:tcW w:w="0" w:type="auto"/>
            <w:vAlign w:val="center"/>
            <w:hideMark/>
          </w:tcPr>
          <w:p w14:paraId="37A816DA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20.78%</w:t>
            </w:r>
          </w:p>
        </w:tc>
        <w:tc>
          <w:tcPr>
            <w:tcW w:w="0" w:type="auto"/>
            <w:vAlign w:val="center"/>
            <w:hideMark/>
          </w:tcPr>
          <w:p w14:paraId="468167FC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75.46%</w:t>
            </w:r>
          </w:p>
        </w:tc>
      </w:tr>
    </w:tbl>
    <w:p w14:paraId="3EADC169" w14:textId="77777777" w:rsidR="004E2D52" w:rsidRPr="004E2D52" w:rsidRDefault="004E2D52" w:rsidP="004E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D52">
        <w:rPr>
          <w:rFonts w:ascii="Times New Roman" w:eastAsia="Times New Roman" w:hAnsi="Times New Roman" w:cs="Times New Roman"/>
          <w:sz w:val="24"/>
          <w:szCs w:val="24"/>
        </w:rPr>
        <w:t>Interpretacja:</w:t>
      </w:r>
    </w:p>
    <w:p w14:paraId="2AE1B994" w14:textId="77777777" w:rsidR="004E2D52" w:rsidRPr="004E2D52" w:rsidRDefault="004E2D52" w:rsidP="004E2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Na dużych danych jest 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  <w:lang w:val="pl-PL"/>
        </w:rPr>
        <w:t>znacznie więcej remisów</w:t>
      </w: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(czyli bardzo często oba podejścia dają ten sam wynik w tym ujęciu per-request).</w:t>
      </w:r>
    </w:p>
    <w:p w14:paraId="309933D7" w14:textId="77777777" w:rsidR="004E2D52" w:rsidRPr="004E2D52" w:rsidRDefault="004E2D52" w:rsidP="004E2D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Ale wśród przypadków rozstrzygniętych 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  <w:lang w:val="pl-PL"/>
        </w:rPr>
        <w:t>kurekj nadal wygrywa częściej niż PG</w:t>
      </w: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>.</w:t>
      </w:r>
    </w:p>
    <w:p w14:paraId="0066871E" w14:textId="77777777" w:rsidR="004E2D52" w:rsidRPr="004E2D52" w:rsidRDefault="004E2D52" w:rsidP="004E2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l-PL"/>
        </w:rPr>
      </w:pPr>
      <w:r w:rsidRPr="004E2D52">
        <w:rPr>
          <w:rFonts w:ascii="Times New Roman" w:eastAsia="Times New Roman" w:hAnsi="Times New Roman" w:cs="Times New Roman"/>
          <w:b/>
          <w:bCs/>
          <w:sz w:val="36"/>
          <w:szCs w:val="36"/>
          <w:lang w:val="pl-PL"/>
        </w:rPr>
        <w:t>3) Jak bardzo wyniki PG i kurekj są podobne (overlap TOP3)</w:t>
      </w:r>
    </w:p>
    <w:p w14:paraId="785A2C5D" w14:textId="77777777" w:rsidR="004E2D52" w:rsidRPr="004E2D52" w:rsidRDefault="004E2D52" w:rsidP="004E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Z arkusza </w:t>
      </w:r>
      <w:r w:rsidRPr="004E2D52">
        <w:rPr>
          <w:rFonts w:ascii="Courier New" w:eastAsia="Times New Roman" w:hAnsi="Courier New" w:cs="Courier New"/>
          <w:sz w:val="20"/>
          <w:szCs w:val="20"/>
          <w:lang w:val="pl-PL"/>
        </w:rPr>
        <w:t>metrics</w:t>
      </w: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i/lub z rozkładu </w:t>
      </w:r>
      <w:r w:rsidRPr="004E2D52">
        <w:rPr>
          <w:rFonts w:ascii="Courier New" w:eastAsia="Times New Roman" w:hAnsi="Courier New" w:cs="Courier New"/>
          <w:sz w:val="20"/>
          <w:szCs w:val="20"/>
          <w:lang w:val="pl-PL"/>
        </w:rPr>
        <w:t>top3_overlap_cnt</w:t>
      </w: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(0..3 wspólnych elementów w TOP3):</w:t>
      </w:r>
    </w:p>
    <w:p w14:paraId="3664DAE8" w14:textId="77777777" w:rsidR="004E2D52" w:rsidRPr="004E2D52" w:rsidRDefault="004E2D52" w:rsidP="004E2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2D52">
        <w:rPr>
          <w:rFonts w:ascii="Times New Roman" w:eastAsia="Times New Roman" w:hAnsi="Times New Roman" w:cs="Times New Roman"/>
          <w:b/>
          <w:bCs/>
          <w:sz w:val="27"/>
          <w:szCs w:val="27"/>
        </w:rPr>
        <w:t>Średni overlap TOP3 (0..1)</w:t>
      </w:r>
    </w:p>
    <w:p w14:paraId="562EC687" w14:textId="77777777" w:rsidR="004E2D52" w:rsidRPr="004E2D52" w:rsidRDefault="004E2D52" w:rsidP="004E2D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D52">
        <w:rPr>
          <w:rFonts w:ascii="Times New Roman" w:eastAsia="Times New Roman" w:hAnsi="Times New Roman" w:cs="Times New Roman"/>
          <w:sz w:val="24"/>
          <w:szCs w:val="24"/>
        </w:rPr>
        <w:t xml:space="preserve">2026-02-06: 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</w:rPr>
        <w:t>35.22%</w:t>
      </w:r>
    </w:p>
    <w:p w14:paraId="5B83177C" w14:textId="77777777" w:rsidR="004E2D52" w:rsidRPr="004E2D52" w:rsidRDefault="004E2D52" w:rsidP="004E2D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D52">
        <w:rPr>
          <w:rFonts w:ascii="Times New Roman" w:eastAsia="Times New Roman" w:hAnsi="Times New Roman" w:cs="Times New Roman"/>
          <w:sz w:val="24"/>
          <w:szCs w:val="24"/>
        </w:rPr>
        <w:t xml:space="preserve">2026-02-20: 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</w:rPr>
        <w:t>56.19%</w:t>
      </w:r>
    </w:p>
    <w:p w14:paraId="4F28E635" w14:textId="77777777" w:rsidR="004E2D52" w:rsidRPr="004E2D52" w:rsidRDefault="004E2D52" w:rsidP="004E2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l-PL"/>
        </w:rPr>
      </w:pPr>
      <w:r w:rsidRPr="004E2D52">
        <w:rPr>
          <w:rFonts w:ascii="Times New Roman" w:eastAsia="Times New Roman" w:hAnsi="Times New Roman" w:cs="Times New Roman"/>
          <w:b/>
          <w:bCs/>
          <w:sz w:val="27"/>
          <w:szCs w:val="27"/>
          <w:lang w:val="pl-PL"/>
        </w:rPr>
        <w:lastRenderedPageBreak/>
        <w:t>Top1 match (czy #1 jest taki sam)</w:t>
      </w:r>
    </w:p>
    <w:p w14:paraId="6F146A40" w14:textId="77777777" w:rsidR="004E2D52" w:rsidRPr="004E2D52" w:rsidRDefault="004E2D52" w:rsidP="004E2D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D52">
        <w:rPr>
          <w:rFonts w:ascii="Times New Roman" w:eastAsia="Times New Roman" w:hAnsi="Times New Roman" w:cs="Times New Roman"/>
          <w:sz w:val="24"/>
          <w:szCs w:val="24"/>
        </w:rPr>
        <w:t xml:space="preserve">2026-02-06: 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</w:rPr>
        <w:t>31.17%</w:t>
      </w:r>
    </w:p>
    <w:p w14:paraId="7D3D01C6" w14:textId="77777777" w:rsidR="004E2D52" w:rsidRPr="004E2D52" w:rsidRDefault="004E2D52" w:rsidP="004E2D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D52">
        <w:rPr>
          <w:rFonts w:ascii="Times New Roman" w:eastAsia="Times New Roman" w:hAnsi="Times New Roman" w:cs="Times New Roman"/>
          <w:sz w:val="24"/>
          <w:szCs w:val="24"/>
        </w:rPr>
        <w:t xml:space="preserve">2026-02-20: 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</w:rPr>
        <w:t>38.87%</w:t>
      </w:r>
    </w:p>
    <w:p w14:paraId="2879F1C2" w14:textId="77777777" w:rsidR="004E2D52" w:rsidRPr="004E2D52" w:rsidRDefault="004E2D52" w:rsidP="004E2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2D52">
        <w:rPr>
          <w:rFonts w:ascii="Times New Roman" w:eastAsia="Times New Roman" w:hAnsi="Times New Roman" w:cs="Times New Roman"/>
          <w:b/>
          <w:bCs/>
          <w:sz w:val="27"/>
          <w:szCs w:val="27"/>
        </w:rPr>
        <w:t>Pełny match TOP3 (3/3)</w:t>
      </w:r>
    </w:p>
    <w:p w14:paraId="693C5772" w14:textId="77777777" w:rsidR="004E2D52" w:rsidRPr="004E2D52" w:rsidRDefault="004E2D52" w:rsidP="004E2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D52">
        <w:rPr>
          <w:rFonts w:ascii="Times New Roman" w:eastAsia="Times New Roman" w:hAnsi="Times New Roman" w:cs="Times New Roman"/>
          <w:sz w:val="24"/>
          <w:szCs w:val="24"/>
        </w:rPr>
        <w:t xml:space="preserve">2026-02-06: 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</w:rPr>
        <w:t>5.71%</w:t>
      </w:r>
    </w:p>
    <w:p w14:paraId="4AF3A48D" w14:textId="77777777" w:rsidR="004E2D52" w:rsidRPr="004E2D52" w:rsidRDefault="004E2D52" w:rsidP="004E2D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D52">
        <w:rPr>
          <w:rFonts w:ascii="Times New Roman" w:eastAsia="Times New Roman" w:hAnsi="Times New Roman" w:cs="Times New Roman"/>
          <w:sz w:val="24"/>
          <w:szCs w:val="24"/>
        </w:rPr>
        <w:t xml:space="preserve">2026-02-20: 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</w:rPr>
        <w:t>24.93%</w:t>
      </w:r>
    </w:p>
    <w:p w14:paraId="7FFCA3E3" w14:textId="77777777" w:rsidR="004E2D52" w:rsidRPr="004E2D52" w:rsidRDefault="004E2D52" w:rsidP="004E2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l-PL"/>
        </w:rPr>
      </w:pPr>
      <w:r w:rsidRPr="004E2D52">
        <w:rPr>
          <w:rFonts w:ascii="Times New Roman" w:eastAsia="Times New Roman" w:hAnsi="Times New Roman" w:cs="Times New Roman"/>
          <w:b/>
          <w:bCs/>
          <w:sz w:val="27"/>
          <w:szCs w:val="27"/>
          <w:lang w:val="pl-PL"/>
        </w:rPr>
        <w:t>Rozkład overlap_cnt (ile wspólnych w TOP3)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321"/>
        <w:gridCol w:w="1081"/>
        <w:gridCol w:w="1067"/>
        <w:gridCol w:w="1082"/>
      </w:tblGrid>
      <w:tr w:rsidR="004E2D52" w:rsidRPr="004E2D52" w14:paraId="1B92ABC0" w14:textId="77777777" w:rsidTr="004E2D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84689" w14:textId="77777777" w:rsidR="004E2D52" w:rsidRPr="004E2D52" w:rsidRDefault="004E2D52" w:rsidP="004E2D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Plik</w:t>
            </w:r>
          </w:p>
        </w:tc>
        <w:tc>
          <w:tcPr>
            <w:tcW w:w="0" w:type="auto"/>
            <w:vAlign w:val="center"/>
            <w:hideMark/>
          </w:tcPr>
          <w:p w14:paraId="1626AE0B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 wspólnych</w:t>
            </w:r>
          </w:p>
        </w:tc>
        <w:tc>
          <w:tcPr>
            <w:tcW w:w="0" w:type="auto"/>
            <w:vAlign w:val="center"/>
            <w:hideMark/>
          </w:tcPr>
          <w:p w14:paraId="64EF9F48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wspólny</w:t>
            </w:r>
          </w:p>
        </w:tc>
        <w:tc>
          <w:tcPr>
            <w:tcW w:w="0" w:type="auto"/>
            <w:vAlign w:val="center"/>
            <w:hideMark/>
          </w:tcPr>
          <w:p w14:paraId="57BE6B57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wspólne</w:t>
            </w:r>
          </w:p>
        </w:tc>
        <w:tc>
          <w:tcPr>
            <w:tcW w:w="0" w:type="auto"/>
            <w:vAlign w:val="center"/>
            <w:hideMark/>
          </w:tcPr>
          <w:p w14:paraId="3F28CECF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wspólne</w:t>
            </w:r>
          </w:p>
        </w:tc>
      </w:tr>
      <w:tr w:rsidR="004E2D52" w:rsidRPr="004E2D52" w14:paraId="7863C311" w14:textId="77777777" w:rsidTr="004E2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A257" w14:textId="77777777" w:rsidR="004E2D52" w:rsidRPr="004E2D52" w:rsidRDefault="004E2D52" w:rsidP="004E2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2026-02-06</w:t>
            </w:r>
          </w:p>
        </w:tc>
        <w:tc>
          <w:tcPr>
            <w:tcW w:w="0" w:type="auto"/>
            <w:vAlign w:val="center"/>
            <w:hideMark/>
          </w:tcPr>
          <w:p w14:paraId="2607C949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30.69%</w:t>
            </w:r>
          </w:p>
        </w:tc>
        <w:tc>
          <w:tcPr>
            <w:tcW w:w="0" w:type="auto"/>
            <w:vAlign w:val="center"/>
            <w:hideMark/>
          </w:tcPr>
          <w:p w14:paraId="13C1BBA8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38.66%</w:t>
            </w:r>
          </w:p>
        </w:tc>
        <w:tc>
          <w:tcPr>
            <w:tcW w:w="0" w:type="auto"/>
            <w:vAlign w:val="center"/>
            <w:hideMark/>
          </w:tcPr>
          <w:p w14:paraId="0A48D01C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24.93%</w:t>
            </w:r>
          </w:p>
        </w:tc>
        <w:tc>
          <w:tcPr>
            <w:tcW w:w="0" w:type="auto"/>
            <w:vAlign w:val="center"/>
            <w:hideMark/>
          </w:tcPr>
          <w:p w14:paraId="26647EDE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5.71%</w:t>
            </w:r>
          </w:p>
        </w:tc>
      </w:tr>
      <w:tr w:rsidR="004E2D52" w:rsidRPr="004E2D52" w14:paraId="7A042390" w14:textId="77777777" w:rsidTr="004E2D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5AC3" w14:textId="77777777" w:rsidR="004E2D52" w:rsidRPr="004E2D52" w:rsidRDefault="004E2D52" w:rsidP="004E2D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2026-02-20</w:t>
            </w:r>
          </w:p>
        </w:tc>
        <w:tc>
          <w:tcPr>
            <w:tcW w:w="0" w:type="auto"/>
            <w:vAlign w:val="center"/>
            <w:hideMark/>
          </w:tcPr>
          <w:p w14:paraId="6789C0C8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16.65%</w:t>
            </w:r>
          </w:p>
        </w:tc>
        <w:tc>
          <w:tcPr>
            <w:tcW w:w="0" w:type="auto"/>
            <w:vAlign w:val="center"/>
            <w:hideMark/>
          </w:tcPr>
          <w:p w14:paraId="2AB59F9C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23.06%</w:t>
            </w:r>
          </w:p>
        </w:tc>
        <w:tc>
          <w:tcPr>
            <w:tcW w:w="0" w:type="auto"/>
            <w:vAlign w:val="center"/>
            <w:hideMark/>
          </w:tcPr>
          <w:p w14:paraId="14B8ED2E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35.36%</w:t>
            </w:r>
          </w:p>
        </w:tc>
        <w:tc>
          <w:tcPr>
            <w:tcW w:w="0" w:type="auto"/>
            <w:vAlign w:val="center"/>
            <w:hideMark/>
          </w:tcPr>
          <w:p w14:paraId="156FB875" w14:textId="77777777" w:rsidR="004E2D52" w:rsidRPr="004E2D52" w:rsidRDefault="004E2D52" w:rsidP="004E2D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52">
              <w:rPr>
                <w:rFonts w:ascii="Times New Roman" w:eastAsia="Times New Roman" w:hAnsi="Times New Roman" w:cs="Times New Roman"/>
                <w:sz w:val="24"/>
                <w:szCs w:val="24"/>
              </w:rPr>
              <w:t>24.93%</w:t>
            </w:r>
          </w:p>
        </w:tc>
      </w:tr>
    </w:tbl>
    <w:p w14:paraId="0BD53AF6" w14:textId="6DA8D81A" w:rsidR="004E2D52" w:rsidRPr="004E2D52" w:rsidRDefault="004E2D52" w:rsidP="004E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Na większym zbiorze 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  <w:lang w:val="pl-PL"/>
        </w:rPr>
        <w:t>PG i kurekj częściej wybierają podobne TOP3</w:t>
      </w: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(dużo więcej przypadków 2/3 lub 3/3 wspólnych). To dobrze tłumaczy czemu rośnie “remisowość” w win-rate.</w:t>
      </w:r>
    </w:p>
    <w:p w14:paraId="0E43955C" w14:textId="77777777" w:rsidR="004E2D52" w:rsidRPr="004E2D52" w:rsidRDefault="004E2D52" w:rsidP="004E2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l-PL"/>
        </w:rPr>
      </w:pPr>
      <w:r w:rsidRPr="004E2D52">
        <w:rPr>
          <w:rFonts w:ascii="Times New Roman" w:eastAsia="Times New Roman" w:hAnsi="Times New Roman" w:cs="Times New Roman"/>
          <w:b/>
          <w:bCs/>
          <w:sz w:val="36"/>
          <w:szCs w:val="36"/>
          <w:lang w:val="pl-PL"/>
        </w:rPr>
        <w:t>Wniosek dla Twojej tezy “czy kurekj nadal lepszy”</w:t>
      </w:r>
    </w:p>
    <w:p w14:paraId="51C5A16B" w14:textId="77777777" w:rsidR="004E2D52" w:rsidRPr="004E2D52" w:rsidRDefault="004E2D52" w:rsidP="004E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Tak — na danych z 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  <w:lang w:val="pl-PL"/>
        </w:rPr>
        <w:t>2026-02-20 (13853 requestów)</w:t>
      </w: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w tym raporcie:</w:t>
      </w:r>
    </w:p>
    <w:p w14:paraId="25CE6C26" w14:textId="77777777" w:rsidR="004E2D52" w:rsidRPr="004E2D52" w:rsidRDefault="004E2D52" w:rsidP="004E2D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</w:rPr>
        <w:t>kurekj ma wyższy avg expected revenue / request</w:t>
      </w:r>
      <w:r w:rsidRPr="004E2D52">
        <w:rPr>
          <w:rFonts w:ascii="Times New Roman" w:eastAsia="Times New Roman" w:hAnsi="Times New Roman" w:cs="Times New Roman"/>
          <w:sz w:val="24"/>
          <w:szCs w:val="24"/>
        </w:rPr>
        <w:t xml:space="preserve"> niż PG (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</w:rPr>
        <w:t>59.60 vs 28.85</w:t>
      </w:r>
      <w:r w:rsidRPr="004E2D52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7B17C551" w14:textId="77777777" w:rsidR="004E2D52" w:rsidRPr="004E2D52" w:rsidRDefault="004E2D52" w:rsidP="004E2D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  <w:lang w:val="pl-PL"/>
        </w:rPr>
        <w:t>kurekj częściej wygrywa per-request</w:t>
      </w: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niż PG (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  <w:lang w:val="pl-PL"/>
        </w:rPr>
        <w:t>20.78% vs 3.76%</w:t>
      </w: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>),</w:t>
      </w:r>
    </w:p>
    <w:p w14:paraId="59F9BA9F" w14:textId="77777777" w:rsidR="004E2D52" w:rsidRPr="004E2D52" w:rsidRDefault="004E2D52" w:rsidP="004E2D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a jednocześnie oba algorytmy są 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  <w:lang w:val="pl-PL"/>
        </w:rPr>
        <w:t>bardziej zbieżne</w:t>
      </w: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w TOP3 (dużo więcej overlapów 2–3).</w:t>
      </w:r>
    </w:p>
    <w:p w14:paraId="5C794BE3" w14:textId="77777777" w:rsidR="004E2D52" w:rsidRPr="004E2D52" w:rsidRDefault="004E2D52" w:rsidP="004E2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D52">
        <w:rPr>
          <w:rFonts w:ascii="Times New Roman" w:eastAsia="Times New Roman" w:hAnsi="Times New Roman" w:cs="Times New Roman"/>
          <w:sz w:val="24"/>
          <w:szCs w:val="24"/>
        </w:rPr>
        <w:t>Jeśli chcesz, mogę jeszcze:</w:t>
      </w:r>
    </w:p>
    <w:p w14:paraId="34613369" w14:textId="77777777" w:rsidR="004E2D52" w:rsidRPr="004E2D52" w:rsidRDefault="004E2D52" w:rsidP="004E2D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wyciągnąć 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  <w:lang w:val="pl-PL"/>
        </w:rPr>
        <w:t>TOP N requestów</w:t>
      </w: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>, gdzie różnica kurekj–PG jest największa (do ręcznej inspekcji),</w:t>
      </w:r>
    </w:p>
    <w:p w14:paraId="0FFE04DC" w14:textId="77777777" w:rsidR="004E2D52" w:rsidRPr="004E2D52" w:rsidRDefault="004E2D52" w:rsidP="004E2D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albo policzyć win-rate </w:t>
      </w:r>
      <w:r w:rsidRPr="004E2D52">
        <w:rPr>
          <w:rFonts w:ascii="Times New Roman" w:eastAsia="Times New Roman" w:hAnsi="Times New Roman" w:cs="Times New Roman"/>
          <w:b/>
          <w:bCs/>
          <w:sz w:val="24"/>
          <w:szCs w:val="24"/>
          <w:lang w:val="pl-PL"/>
        </w:rPr>
        <w:t>tylko na przypadkach nieremisowych</w:t>
      </w:r>
      <w:r w:rsidRPr="004E2D52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(to często daje czytelniejszy obraz, gdy remisów jest 75%+).</w:t>
      </w:r>
    </w:p>
    <w:p w14:paraId="63C4CD58" w14:textId="77777777" w:rsidR="00214AD7" w:rsidRPr="004E2D52" w:rsidRDefault="00214AD7">
      <w:pPr>
        <w:rPr>
          <w:lang w:val="pl-PL"/>
        </w:rPr>
      </w:pPr>
    </w:p>
    <w:sectPr w:rsidR="00214AD7" w:rsidRPr="004E2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B2D7E"/>
    <w:multiLevelType w:val="multilevel"/>
    <w:tmpl w:val="E322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96A10"/>
    <w:multiLevelType w:val="multilevel"/>
    <w:tmpl w:val="587C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931BF"/>
    <w:multiLevelType w:val="multilevel"/>
    <w:tmpl w:val="4094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F66CE"/>
    <w:multiLevelType w:val="multilevel"/>
    <w:tmpl w:val="536A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86BB1"/>
    <w:multiLevelType w:val="multilevel"/>
    <w:tmpl w:val="618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249FE"/>
    <w:multiLevelType w:val="multilevel"/>
    <w:tmpl w:val="BF1A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20E09"/>
    <w:multiLevelType w:val="multilevel"/>
    <w:tmpl w:val="4582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C3"/>
    <w:rsid w:val="000664C3"/>
    <w:rsid w:val="00214AD7"/>
    <w:rsid w:val="004E2D52"/>
    <w:rsid w:val="008B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5E32"/>
  <w15:chartTrackingRefBased/>
  <w15:docId w15:val="{B1998080-94D4-41CC-BC0E-68CB54920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2D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E2D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2D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2D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2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2D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2D5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E2D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Jarosław Kurek</dc:creator>
  <cp:keywords/>
  <dc:description/>
  <cp:lastModifiedBy>Jarosław Kurek</cp:lastModifiedBy>
  <cp:revision>3</cp:revision>
  <dcterms:created xsi:type="dcterms:W3CDTF">2026-02-20T04:46:00Z</dcterms:created>
  <dcterms:modified xsi:type="dcterms:W3CDTF">2026-02-20T04:47:00Z</dcterms:modified>
</cp:coreProperties>
</file>