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1887D" w14:textId="77777777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29B7FC6C" w14:textId="77777777" w:rsidTr="25FC3610">
        <w:trPr>
          <w:trHeight w:val="2192"/>
        </w:trPr>
        <w:tc>
          <w:tcPr>
            <w:tcW w:w="0" w:type="auto"/>
          </w:tcPr>
          <w:p w14:paraId="0FDDD5FD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4C6715B1" w14:textId="77777777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125B7BE7" w14:textId="77777777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388DA488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AACF707" w14:textId="77777777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2CEDB8D8" w14:textId="77777777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6D8FC3A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6B86D333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3D511B0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1104FAB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FDDDD7F" w14:textId="13AAD0D6" w:rsidR="004F2A8B" w:rsidRPr="00990556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4D871C4A" w14:textId="77777777" w:rsidR="00AA06FA" w:rsidRDefault="00000000">
            <w:pPr>
              <w:spacing w:before="160" w:after="120"/>
              <w:jc w:val="both"/>
            </w:pPr>
            <w:r>
              <w:rPr>
                <w:b/>
              </w:rPr>
              <w:t>Respuesta:</w:t>
            </w:r>
          </w:p>
          <w:p>
            <w:pPr>
              <w:spacing w:after="120"/>
              <w:jc w:val="both"/>
            </w:pPr>
            <w:r>
              <w:rPr>
                <w:sz w:val="24"/>
                <w:szCs w:val="24"/>
              </w:rPr>
              <w:t xml:space="preserve">En general hemos avanzado de acuerdo con lo planificado. Como responsable del desarrollo, dejé completas las etapas de autenticación y de acceso a datos (S5–S9), y el dashboard y el detalle de orden están en cierre (S8–S11). Además, llevé el proyecto más allá del plan original: implementé el proxy para conectar con SAP Business One, la ubicación de obra con mapas y el módulo de ejecución, lo que deja una aplicación más completa de lo comprometido en la Fase 1. La etapa de pruebas funcionales (S10–S13), a cargo de Kevin, corresponde iniciarla ahora.</w:t>
            </w:r>
          </w:p>
          <w:p>
            <w:pPr>
              <w:spacing w:after="120"/>
              <w:jc w:val="both"/>
            </w:pPr>
            <w:r>
              <w:rPr>
                <w:sz w:val="24"/>
                <w:szCs w:val="24"/>
              </w:rPr>
              <w:t xml:space="preserve">Lo que más ha facilitado el trabajo es mi dominio de Flutter, BLoC y la arquitectura por capas, contar con datos reales en SAP Business One y un entorno de pruebas. Entre las dificultades estuvieron el bloqueo de CORS y del certificado al probar en web, las restricciones de las consultas a SAP (correos con mayúsculas distintas y duplicados) y el gran volumen de órdenes por taller; las tres las resolví con soluciones ya implementadas.</w:t>
            </w:r>
          </w:p>
        </w:tc>
      </w:tr>
    </w:tbl>
    <w:p w14:paraId="0714167B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60F03C62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28AF1CC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664818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BFC1F31" w14:textId="1B1A658E" w:rsidR="004F2A8B" w:rsidRPr="00990556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3245626F" w14:textId="77777777" w:rsidR="00AA06FA" w:rsidRDefault="00000000">
            <w:pPr>
              <w:spacing w:before="160" w:after="120"/>
              <w:jc w:val="both"/>
            </w:pPr>
            <w:r>
              <w:rPr>
                <w:b/>
              </w:rPr>
              <w:t>Respuesta:</w:t>
            </w:r>
          </w:p>
          <w:p>
            <w:pPr>
              <w:spacing w:after="120"/>
              <w:jc w:val="both"/>
            </w:pPr>
            <w:r>
              <w:rPr>
                <w:sz w:val="24"/>
                <w:szCs w:val="24"/>
              </w:rPr>
              <w:t xml:space="preserve">Las dificultades técnicas las abordé directamente en el código: un proxy local para SAP, una búsqueda de correos que prueba primero la coincidencia exacta y luego una búsqueda paginada, la paginación de órdenes y una compuerta que mantiene bloqueadas las escrituras hacia SAP mientras se prueba.</w:t>
            </w:r>
          </w:p>
          <w:p>
            <w:pPr>
              <w:spacing w:after="120"/>
              <w:jc w:val="both"/>
            </w:pPr>
            <w:r>
              <w:rPr>
                <w:sz w:val="24"/>
                <w:szCs w:val="24"/>
              </w:rPr>
              <w:t xml:space="preserve">Para las próximas semanas planeo cerrar el control de acceso y sus casos límite (órdenes propias frente a órdenes ajenas), apoyar a Kevin en la guía de pruebas con casos reales (login, órdenes propias y ajenas) y dejar operativo el flujo de integración continua. También mantendré la arquitectura desacoplada y actualizaré la documentación del repositorio, incluyendo el reemplazo de los datos de prueba de SAP del README por valores ficticios. Vamos a trabajar con ramas y revisión cruzada para que el aporte de ambos quede registrado en Git.</w:t>
            </w:r>
          </w:p>
        </w:tc>
      </w:tr>
    </w:tbl>
    <w:p w14:paraId="2BE40F8E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A1C52D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7357D7F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1AE417E4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073B68" w14:textId="5EB6BAD2" w:rsidR="004F2A8B" w:rsidRPr="00990556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537EF6BF" w14:textId="77777777" w:rsidR="00AA06FA" w:rsidRDefault="00000000">
            <w:pPr>
              <w:spacing w:before="160" w:after="120"/>
              <w:jc w:val="both"/>
            </w:pPr>
            <w:r>
              <w:rPr>
                <w:b/>
              </w:rPr>
              <w:t>Respuesta:</w:t>
            </w:r>
          </w:p>
          <w:p>
            <w:pPr>
              <w:spacing w:after="120"/>
              <w:jc w:val="both"/>
            </w:pPr>
            <w:r>
              <w:rPr>
                <w:sz w:val="24"/>
                <w:szCs w:val="24"/>
              </w:rPr>
              <w:t xml:space="preserve">Evalúo mi trabajo de forma positiva en el área de desarrollo y arquitectura. Implementé la autenticación, el acceso a datos, el dashboard y el detalle de orden, y agregué funciones más allá del alcance inicial (proxy con SAP, mapas de ubicación y módulo de ejecución), manteniendo una arquitectura Feature-First por capas (Presentation, BLoC, Repository y Service) que deja la base ordenada y preparada para crecer.</w:t>
            </w:r>
          </w:p>
          <w:p>
            <w:pPr>
              <w:spacing w:after="120"/>
              <w:jc w:val="both"/>
            </w:pPr>
            <w:r>
              <w:rPr>
                <w:sz w:val="24"/>
                <w:szCs w:val="24"/>
              </w:rPr>
              <w:t xml:space="preserve">Mi oportunidad de mejora es doble: dejar mejor registrada mi contribución en Git —unificando mi identidad de commits, que hoy aparece dividida en más de una cuenta— y reforzar las pruebas y la documentación junto con Kevin, para que mi aporte técnico quede tan visible y trazable como el trabajo realizado.</w:t>
            </w:r>
          </w:p>
        </w:tc>
      </w:tr>
    </w:tbl>
    <w:p w14:paraId="1BA2B152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8A4130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B79544E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31C44310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902C4C1" w14:textId="627E6293" w:rsidR="004F2A8B" w:rsidRPr="00990556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0A4301F9" w14:textId="77777777" w:rsidR="00AA06FA" w:rsidRDefault="00000000">
            <w:pPr>
              <w:spacing w:before="160" w:after="120"/>
              <w:jc w:val="both"/>
            </w:pPr>
            <w:r>
              <w:rPr>
                <w:b/>
              </w:rPr>
              <w:t>Respuesta:</w:t>
            </w:r>
          </w:p>
          <w:p>
            <w:pPr>
              <w:spacing w:after="120"/>
              <w:jc w:val="both"/>
            </w:pPr>
            <w:r>
              <w:rPr>
                <w:sz w:val="24"/>
                <w:szCs w:val="24"/>
              </w:rPr>
              <w:t xml:space="preserve">Mis inquietudes son tres. Primero, si la verificación adicional de identidad (OTP) debe entrar al alcance del semestre o si se registra como proyección futura. Segundo, qué tipo de evidencia espera el docente para la competencia de pruebas de certificación: si bastan las pruebas unitarias o se requiere además un registro de pruebas funcionales. Tercero, cómo se considera en la evaluación individual el trabajo de desarrollo y arquitectura junto al de análisis y calidad.</w:t>
            </w:r>
          </w:p>
          <w:p>
            <w:pPr>
              <w:spacing w:after="120"/>
              <w:jc w:val="both"/>
            </w:pPr>
            <w:r>
              <w:rPr>
                <w:sz w:val="24"/>
                <w:szCs w:val="24"/>
              </w:rPr>
              <w:t xml:space="preserve">A mi docente le preguntaría: ¿las actividades que agregamos al plan (proxy SAP, mapas y ejecución) se consideran parte del alcance, o conviene priorizar las pruebas y la documentación antes de seguir agregando funciones?</w:t>
            </w:r>
          </w:p>
        </w:tc>
      </w:tr>
    </w:tbl>
    <w:p w14:paraId="514D8F6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78282E3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A1E4131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4E401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429F7EB7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4CF590F" w14:textId="25989026" w:rsidR="004F2A8B" w:rsidRPr="00990556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0198921C" w14:textId="77777777" w:rsidR="00AA06FA" w:rsidRDefault="00000000">
            <w:pPr>
              <w:spacing w:before="160" w:after="120"/>
              <w:jc w:val="both"/>
            </w:pPr>
            <w:r>
              <w:rPr>
                <w:b/>
              </w:rPr>
              <w:t>Respuesta:</w:t>
            </w:r>
          </w:p>
          <w:p>
            <w:pPr>
              <w:spacing w:after="120"/>
              <w:jc w:val="both"/>
            </w:pPr>
            <w:r>
              <w:rPr>
                <w:sz w:val="24"/>
                <w:szCs w:val="24"/>
              </w:rPr>
              <w:t xml:space="preserve">Creemos que el reparto actual funciona bien y que solo conviene ajustarlo en el cierre. El desarrollo y la arquitectura siguen a mi cargo: cerraré el control de acceso y sus casos límite y mantendré el proxy de SAP y la integración de datos, mientras Kevin toma las pruebas funcionales, el flujo de integración continua y la actualización de la documentación. Para avanzar en paralelo me será útil mantener el acceso al entorno de pruebas de SAP y sus datos.</w:t>
            </w:r>
          </w:p>
        </w:tc>
      </w:tr>
    </w:tbl>
    <w:p w14:paraId="7BCCFF6E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2700DB6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B246612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1FCA9E37" w14:textId="77777777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55C9E7E5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BF48D45" w14:textId="46B57C62" w:rsidR="004F2A8B" w:rsidRPr="00990556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2FDC73CC" w14:textId="77777777" w:rsidR="00AA06FA" w:rsidRDefault="00000000">
            <w:pPr>
              <w:spacing w:before="160" w:after="120"/>
              <w:jc w:val="both"/>
            </w:pPr>
            <w:r>
              <w:rPr>
                <w:b/>
              </w:rPr>
              <w:t>Respuesta:</w:t>
            </w:r>
          </w:p>
          <w:p>
            <w:pPr>
              <w:spacing w:after="120"/>
              <w:jc w:val="both"/>
            </w:pPr>
            <w:r>
              <w:rPr>
                <w:sz w:val="24"/>
                <w:szCs w:val="24"/>
              </w:rPr>
              <w:t xml:space="preserve">Evaluamos muy bien el trabajo en grupo. Los roles están claros, entregamos juntos los productos de la Fase 1 y la arquitectura por capas que definimos permitió avanzar de forma ordenada en el código.</w:t>
            </w:r>
          </w:p>
          <w:p>
            <w:pPr>
              <w:spacing w:after="120"/>
              <w:jc w:val="both"/>
            </w:pPr>
            <w:r>
              <w:rPr>
                <w:sz w:val="24"/>
                <w:szCs w:val="24"/>
              </w:rPr>
              <w:t xml:space="preserve">Como aspectos a mejorar, queremos equilibrar mejor el trabajo que queda registrado en Git de cada integrante, incorporar la revisión cruzada del trabajo del otro y mantener la documentación al día, por ejemplo el proxy de SAP, que ya quedó explicado en el README. Para eso vamos a usar ramas y commits frecuentes de ambos.</w:t>
            </w:r>
          </w:p>
        </w:tc>
      </w:tr>
    </w:tbl>
    <w:p w14:paraId="3DD229D0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29AE070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75B38" w14:textId="77777777" w:rsidR="00BF250F" w:rsidRDefault="00BF250F" w:rsidP="00DF38AE">
      <w:pPr>
        <w:spacing w:after="0" w:line="240" w:lineRule="auto"/>
      </w:pPr>
      <w:r>
        <w:separator/>
      </w:r>
    </w:p>
  </w:endnote>
  <w:endnote w:type="continuationSeparator" w:id="0">
    <w:p w14:paraId="1E25880A" w14:textId="77777777" w:rsidR="00BF250F" w:rsidRDefault="00BF250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8A6AF2C" w14:textId="77777777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CA0AB01" w14:textId="77777777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2CA0AB01" w14:textId="77777777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DDD1A" w14:textId="77777777" w:rsidR="00BF250F" w:rsidRDefault="00BF250F" w:rsidP="00DF38AE">
      <w:pPr>
        <w:spacing w:after="0" w:line="240" w:lineRule="auto"/>
      </w:pPr>
      <w:r>
        <w:separator/>
      </w:r>
    </w:p>
  </w:footnote>
  <w:footnote w:type="continuationSeparator" w:id="0">
    <w:p w14:paraId="3DABE124" w14:textId="77777777" w:rsidR="00BF250F" w:rsidRDefault="00BF250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26CA7B7A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2A3AE5F9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0953A8E" w14:textId="77777777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41CCB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1B019554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0EFC77E" w14:textId="77777777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61023CDA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5BD90992" w14:textId="7777777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3050FD08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E07F153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01C1D9B1" w14:textId="77777777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04C91B4B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3228C45F" w14:textId="77777777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DE56BAC" w14:textId="77777777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2584553">
    <w:abstractNumId w:val="3"/>
  </w:num>
  <w:num w:numId="2" w16cid:durableId="488448742">
    <w:abstractNumId w:val="8"/>
  </w:num>
  <w:num w:numId="3" w16cid:durableId="2024669689">
    <w:abstractNumId w:val="12"/>
  </w:num>
  <w:num w:numId="4" w16cid:durableId="1031222743">
    <w:abstractNumId w:val="28"/>
  </w:num>
  <w:num w:numId="5" w16cid:durableId="512186796">
    <w:abstractNumId w:val="30"/>
  </w:num>
  <w:num w:numId="6" w16cid:durableId="884829261">
    <w:abstractNumId w:val="4"/>
  </w:num>
  <w:num w:numId="7" w16cid:durableId="1954360962">
    <w:abstractNumId w:val="11"/>
  </w:num>
  <w:num w:numId="8" w16cid:durableId="324432441">
    <w:abstractNumId w:val="19"/>
  </w:num>
  <w:num w:numId="9" w16cid:durableId="1268922688">
    <w:abstractNumId w:val="15"/>
  </w:num>
  <w:num w:numId="10" w16cid:durableId="1847936216">
    <w:abstractNumId w:val="9"/>
  </w:num>
  <w:num w:numId="11" w16cid:durableId="1633559154">
    <w:abstractNumId w:val="24"/>
  </w:num>
  <w:num w:numId="12" w16cid:durableId="551116445">
    <w:abstractNumId w:val="35"/>
  </w:num>
  <w:num w:numId="13" w16cid:durableId="1262227972">
    <w:abstractNumId w:val="29"/>
  </w:num>
  <w:num w:numId="14" w16cid:durableId="127358233">
    <w:abstractNumId w:val="1"/>
  </w:num>
  <w:num w:numId="15" w16cid:durableId="1248730307">
    <w:abstractNumId w:val="36"/>
  </w:num>
  <w:num w:numId="16" w16cid:durableId="358434901">
    <w:abstractNumId w:val="21"/>
  </w:num>
  <w:num w:numId="17" w16cid:durableId="884023325">
    <w:abstractNumId w:val="17"/>
  </w:num>
  <w:num w:numId="18" w16cid:durableId="644628653">
    <w:abstractNumId w:val="31"/>
  </w:num>
  <w:num w:numId="19" w16cid:durableId="1914000214">
    <w:abstractNumId w:val="10"/>
  </w:num>
  <w:num w:numId="20" w16cid:durableId="296645542">
    <w:abstractNumId w:val="39"/>
  </w:num>
  <w:num w:numId="21" w16cid:durableId="83496750">
    <w:abstractNumId w:val="34"/>
  </w:num>
  <w:num w:numId="22" w16cid:durableId="1281257023">
    <w:abstractNumId w:val="13"/>
  </w:num>
  <w:num w:numId="23" w16cid:durableId="1633436738">
    <w:abstractNumId w:val="14"/>
  </w:num>
  <w:num w:numId="24" w16cid:durableId="1702394186">
    <w:abstractNumId w:val="5"/>
  </w:num>
  <w:num w:numId="25" w16cid:durableId="1232427371">
    <w:abstractNumId w:val="16"/>
  </w:num>
  <w:num w:numId="26" w16cid:durableId="1562060677">
    <w:abstractNumId w:val="20"/>
  </w:num>
  <w:num w:numId="27" w16cid:durableId="313729532">
    <w:abstractNumId w:val="23"/>
  </w:num>
  <w:num w:numId="28" w16cid:durableId="1187253390">
    <w:abstractNumId w:val="0"/>
  </w:num>
  <w:num w:numId="29" w16cid:durableId="662362">
    <w:abstractNumId w:val="18"/>
  </w:num>
  <w:num w:numId="30" w16cid:durableId="1608351516">
    <w:abstractNumId w:val="22"/>
  </w:num>
  <w:num w:numId="31" w16cid:durableId="2108957473">
    <w:abstractNumId w:val="2"/>
  </w:num>
  <w:num w:numId="32" w16cid:durableId="1614940923">
    <w:abstractNumId w:val="7"/>
  </w:num>
  <w:num w:numId="33" w16cid:durableId="1215046326">
    <w:abstractNumId w:val="32"/>
  </w:num>
  <w:num w:numId="34" w16cid:durableId="2105035141">
    <w:abstractNumId w:val="38"/>
  </w:num>
  <w:num w:numId="35" w16cid:durableId="885920257">
    <w:abstractNumId w:val="6"/>
  </w:num>
  <w:num w:numId="36" w16cid:durableId="2053067414">
    <w:abstractNumId w:val="25"/>
  </w:num>
  <w:num w:numId="37" w16cid:durableId="1600790264">
    <w:abstractNumId w:val="37"/>
  </w:num>
  <w:num w:numId="38" w16cid:durableId="55669200">
    <w:abstractNumId w:val="27"/>
  </w:num>
  <w:num w:numId="39" w16cid:durableId="613825746">
    <w:abstractNumId w:val="26"/>
  </w:num>
  <w:num w:numId="40" w16cid:durableId="1520847033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0556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D6290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06FA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50F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0CA9CB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873</Words>
  <Characters>4802</Characters>
  <Application>Microsoft Office Word</Application>
  <DocSecurity>0</DocSecurity>
  <Lines>40</Lines>
  <Paragraphs>11</Paragraphs>
  <ScaleCrop>false</ScaleCrop>
  <Company>Wal-Mart Stores, Inc.</Company>
  <LinksUpToDate>false</LinksUpToDate>
  <CharactersWithSpaces>5664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KEVIN . PEREDO MONTECINO</cp:lastModifiedBy>
  <cp:revision>43</cp:revision>
  <cp:lastPrinted>2019-12-16T20:10:00Z</cp:lastPrinted>
  <dcterms:created xsi:type="dcterms:W3CDTF">2021-12-31T12:50:00Z</dcterms:created>
  <dcterms:modified xsi:type="dcterms:W3CDTF">2026-10-12T16:14:00Z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