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887D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29B7FC6C" w14:textId="77777777" w:rsidTr="25FC3610">
        <w:trPr>
          <w:trHeight w:val="2192"/>
        </w:trPr>
        <w:tc>
          <w:tcPr>
            <w:tcW w:w="0" w:type="auto"/>
          </w:tcPr>
          <w:p w14:paraId="0FDDD5FD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C6715B1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125B7BE7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388DA488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AACF707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2CEDB8D8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D8FC3A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B86D33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D511B0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1104FAB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FDDDD7F" w14:textId="13AAD0D6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D871C4A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 w14:paraId="535523D7" w14:textId="77777777" w:rsidR="00AA06FA" w:rsidRDefault="00000000">
            <w:pPr>
              <w:spacing w:after="120"/>
              <w:jc w:val="both"/>
            </w:pPr>
            <w:r>
              <w:t xml:space="preserve">En general hemos avanzado de acuerdo con lo planificado. Las etapas de autenticación y de acceso a datos (S5–S9) están completas, y el </w:t>
            </w:r>
            <w:proofErr w:type="spellStart"/>
            <w:r>
              <w:t>dashboard</w:t>
            </w:r>
            <w:proofErr w:type="spellEnd"/>
            <w:r>
              <w:t xml:space="preserve"> y el detalle de orden están en cierre (S8–S11). Además, el equipo fue más allá del plan original y agregó el proxy para conectar con SAP, la ubicación de obra con mapas y el módulo de ejecución, lo que deja una aplicación más completa de lo comprometido en la Fase 1. La etapa de pruebas funcionales (S10–S13), que está a mi cargo, corresponde iniciarla ahora y es mi foco de las próximas semanas.</w:t>
            </w:r>
          </w:p>
          <w:p w14:paraId="044CCA99" w14:textId="77777777" w:rsidR="00AA06FA" w:rsidRDefault="00000000">
            <w:pPr>
              <w:spacing w:after="120"/>
              <w:jc w:val="both"/>
            </w:pPr>
            <w:r>
              <w:t xml:space="preserve">Lo que más ha facilitado el trabajo es el dominio del equipo en </w:t>
            </w:r>
            <w:proofErr w:type="spellStart"/>
            <w:r>
              <w:t>Flutter</w:t>
            </w:r>
            <w:proofErr w:type="spellEnd"/>
            <w:r>
              <w:t xml:space="preserve">, </w:t>
            </w:r>
            <w:proofErr w:type="spellStart"/>
            <w:r>
              <w:t>BLoC</w:t>
            </w:r>
            <w:proofErr w:type="spellEnd"/>
            <w:r>
              <w:t xml:space="preserve"> y arquitectura por capas, contar con datos reales en SAP Business One y un entorno de pruebas. Entre las dificultades estuvieron el bloqueo de CORS y del certificado al probar en web, las restricciones de las consultas a SAP (correos con mayúsculas distintas y duplicados) y el gran volumen de órdenes por taller; las tres ya tienen una solución implementada.</w:t>
            </w:r>
          </w:p>
        </w:tc>
      </w:tr>
    </w:tbl>
    <w:p w14:paraId="0714167B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0F03C6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8AF1CC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664818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FC1F31" w14:textId="1B1A658E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245626F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 w14:paraId="2ADE08AE" w14:textId="77777777" w:rsidR="00AA06FA" w:rsidRDefault="00000000">
            <w:pPr>
              <w:spacing w:after="120"/>
              <w:jc w:val="both"/>
            </w:pPr>
            <w:r>
              <w:t>Las dificultades técnicas se abordaron con un proxy local para SAP, una búsqueda de correos que prueba primero la coincidencia exacta y luego una búsqueda paginada, la paginación de órdenes y una compuerta que mantiene bloqueadas las escrituras hacia SAP mientras se prueba.</w:t>
            </w:r>
          </w:p>
          <w:p w14:paraId="22FFB236" w14:textId="77777777" w:rsidR="00AA06FA" w:rsidRDefault="00000000">
            <w:pPr>
              <w:spacing w:after="120"/>
              <w:jc w:val="both"/>
            </w:pPr>
            <w:r>
              <w:t>Para las próximas semanas planeo reescribir la guía de pruebas con casos reales (login, órdenes propias y órdenes ajenas) y ejecutarla en las semanas 11 y 12, sumar pruebas de los casos límite del control de acceso, dejar operativo el flujo de integración continua y actualizar la documentación del repositorio, incluyendo el reemplazo de los datos de prueba de SAP del README por valores ficticios. También vamos a trabajar con ramas y revisión cruzada para que el aporte de ambos quede registrado en Git.</w:t>
            </w:r>
          </w:p>
        </w:tc>
      </w:tr>
    </w:tbl>
    <w:p w14:paraId="2BE40F8E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A1C52D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7357D7F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1AE417E4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073B68" w14:textId="5EB6BAD2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37EF6BF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 w14:paraId="48CCE1DE" w14:textId="4F7F5220" w:rsidR="00AA06FA" w:rsidRDefault="00000000">
            <w:pPr>
              <w:spacing w:after="120"/>
              <w:jc w:val="both"/>
            </w:pPr>
            <w:r>
              <w:t>Evalúo mi trabajo de forma positiva en el área de análisis y documentación. Levanté y documenté los requerimientos y casos de uso, armé el informe de la Fase 1 junto con sus evidencias y organicé el repositorio por fases con sus carpetas de evidencias, lo que deja una base ordenada para las entregas.</w:t>
            </w:r>
            <w:r w:rsidR="00990556">
              <w:t xml:space="preserve"> </w:t>
            </w:r>
            <w:proofErr w:type="gramStart"/>
            <w:r w:rsidR="00990556">
              <w:t>Además</w:t>
            </w:r>
            <w:proofErr w:type="gramEnd"/>
            <w:r w:rsidR="00990556">
              <w:t xml:space="preserve"> ayudé también con ajustes y cambios en el código de la aplicación.</w:t>
            </w:r>
          </w:p>
          <w:p w14:paraId="7701CB60" w14:textId="77777777" w:rsidR="00AA06FA" w:rsidRDefault="00000000">
            <w:pPr>
              <w:spacing w:after="120"/>
              <w:jc w:val="both"/>
            </w:pPr>
            <w:r>
              <w:t xml:space="preserve">Mi oportunidad de mejora es fortalecer la parte de pruebas, que es la competencia que identifiqué como más débil desde la Fase 1. Para eso voy a diseñar y ejecutar los casos de prueba y subir esa evidencia al repositorio con mis propios </w:t>
            </w:r>
            <w:proofErr w:type="spellStart"/>
            <w:r>
              <w:t>commits</w:t>
            </w:r>
            <w:proofErr w:type="spellEnd"/>
            <w:r>
              <w:t>, de modo que mi trabajo técnico y de calidad quede tan visible como el de documentación.</w:t>
            </w:r>
          </w:p>
        </w:tc>
      </w:tr>
    </w:tbl>
    <w:p w14:paraId="1BA2B152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8A4130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B79544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31C4431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902C4C1" w14:textId="627E6293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A4301F9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 w14:paraId="47AF6979" w14:textId="77777777" w:rsidR="00AA06FA" w:rsidRDefault="00000000">
            <w:pPr>
              <w:spacing w:after="120"/>
              <w:jc w:val="both"/>
            </w:pPr>
            <w:r>
              <w:t>Mis inquietudes son tres. Primero, si la verificación adicional de identidad (OTP) debe entrar al alcance del semestre, o si se registra como proyección futura. Segundo, qué tipo de evidencia espera el docente para la competencia de pruebas de certificación: si bastan las pruebas unitarias o se requiere además un registro de pruebas funcionales. Tercero, cómo se considera en la evaluación individual el trabajo de análisis y calidad junto al de desarrollo.</w:t>
            </w:r>
          </w:p>
          <w:p w14:paraId="2F6E33C1" w14:textId="77777777" w:rsidR="00AA06FA" w:rsidRDefault="00000000">
            <w:pPr>
              <w:spacing w:after="120"/>
              <w:jc w:val="both"/>
            </w:pPr>
            <w:r>
              <w:t>A mi docente le preguntaría: ¿las actividades que agregamos al plan (proxy SAP, mapas y ejecución) se consideran parte del alcance, o conviene priorizar las pruebas y la documentación antes de seguir agregando funciones?</w:t>
            </w:r>
          </w:p>
        </w:tc>
      </w:tr>
    </w:tbl>
    <w:p w14:paraId="514D8F6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8282E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A1E413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4E401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429F7EB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4CF590F" w14:textId="25989026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198921C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 w14:paraId="5529E0BC" w14:textId="45897E0C" w:rsidR="00AA06FA" w:rsidRDefault="00000000">
            <w:pPr>
              <w:spacing w:after="120"/>
              <w:jc w:val="both"/>
            </w:pPr>
            <w:r>
              <w:t>Creemos que el reparto actual funciona bien y que solo conviene ajustarlo en el cierre. Las pruebas funcionales siguen a mi cargo y avanzarán en paralelo con el término del desarrollo; para eso me será útil contar con el acceso al entorno de pruebas de SAP y sus datos. Propongo asumir además el flujo de integración continua y la actualización de la documentación, mientras Ian cierra el control de acceso y los casos límite.</w:t>
            </w:r>
          </w:p>
        </w:tc>
      </w:tr>
    </w:tbl>
    <w:p w14:paraId="7BCCFF6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2700DB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B24661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FCA9E37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55C9E7E5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F48D45" w14:textId="46B57C62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FDC73CC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 w14:paraId="375329E2" w14:textId="4EACDC65" w:rsidR="00AA06FA" w:rsidRDefault="00000000">
            <w:pPr>
              <w:spacing w:after="120"/>
              <w:jc w:val="both"/>
            </w:pPr>
            <w:r>
              <w:t>Evaluamos muy bien el trabajo en grupo. Los roles están claros entregamos juntos los productos de la Fase 1 y la arquitectura por capas que definimos permitió avanzar de forma ordenada en el código.</w:t>
            </w:r>
          </w:p>
          <w:p w14:paraId="0C7A959A" w14:textId="0F9E804E" w:rsidR="00AA06FA" w:rsidRDefault="00000000">
            <w:pPr>
              <w:spacing w:after="120"/>
              <w:jc w:val="both"/>
            </w:pPr>
            <w:r>
              <w:t xml:space="preserve">Como aspectos a mejorar, queremos equilibrar mejor el trabajo que queda registrado en Git de cada integrante, incorporar la revisión cruzada del trabajo del otro y mantener la documentación al día, por </w:t>
            </w:r>
            <w:proofErr w:type="gramStart"/>
            <w:r>
              <w:t>ejemplo</w:t>
            </w:r>
            <w:proofErr w:type="gramEnd"/>
            <w:r>
              <w:t xml:space="preserve"> el proxy de SAP, que ya quedó explicado en el README. Para eso vamos a usar ramas y </w:t>
            </w:r>
            <w:proofErr w:type="spellStart"/>
            <w:r>
              <w:t>commits</w:t>
            </w:r>
            <w:proofErr w:type="spellEnd"/>
            <w:r>
              <w:t xml:space="preserve"> frecuentes de ambos.</w:t>
            </w:r>
          </w:p>
        </w:tc>
      </w:tr>
    </w:tbl>
    <w:p w14:paraId="3DD229D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29AE07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75B38" w14:textId="77777777" w:rsidR="00BF250F" w:rsidRDefault="00BF250F" w:rsidP="00DF38AE">
      <w:pPr>
        <w:spacing w:after="0" w:line="240" w:lineRule="auto"/>
      </w:pPr>
      <w:r>
        <w:separator/>
      </w:r>
    </w:p>
  </w:endnote>
  <w:endnote w:type="continuationSeparator" w:id="0">
    <w:p w14:paraId="1E25880A" w14:textId="77777777" w:rsidR="00BF250F" w:rsidRDefault="00BF25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8A6AF2C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0AB01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CA0AB01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DDD1A" w14:textId="77777777" w:rsidR="00BF250F" w:rsidRDefault="00BF250F" w:rsidP="00DF38AE">
      <w:pPr>
        <w:spacing w:after="0" w:line="240" w:lineRule="auto"/>
      </w:pPr>
      <w:r>
        <w:separator/>
      </w:r>
    </w:p>
  </w:footnote>
  <w:footnote w:type="continuationSeparator" w:id="0">
    <w:p w14:paraId="3DABE124" w14:textId="77777777" w:rsidR="00BF250F" w:rsidRDefault="00BF25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26CA7B7A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A3AE5F9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0953A8E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41CCB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B019554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0EFC77E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61023CDA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5BD90992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050FD08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E07F153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1C1D9B1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04C91B4B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3228C45F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DE56BA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584553">
    <w:abstractNumId w:val="3"/>
  </w:num>
  <w:num w:numId="2" w16cid:durableId="488448742">
    <w:abstractNumId w:val="8"/>
  </w:num>
  <w:num w:numId="3" w16cid:durableId="2024669689">
    <w:abstractNumId w:val="12"/>
  </w:num>
  <w:num w:numId="4" w16cid:durableId="1031222743">
    <w:abstractNumId w:val="28"/>
  </w:num>
  <w:num w:numId="5" w16cid:durableId="512186796">
    <w:abstractNumId w:val="30"/>
  </w:num>
  <w:num w:numId="6" w16cid:durableId="884829261">
    <w:abstractNumId w:val="4"/>
  </w:num>
  <w:num w:numId="7" w16cid:durableId="1954360962">
    <w:abstractNumId w:val="11"/>
  </w:num>
  <w:num w:numId="8" w16cid:durableId="324432441">
    <w:abstractNumId w:val="19"/>
  </w:num>
  <w:num w:numId="9" w16cid:durableId="1268922688">
    <w:abstractNumId w:val="15"/>
  </w:num>
  <w:num w:numId="10" w16cid:durableId="1847936216">
    <w:abstractNumId w:val="9"/>
  </w:num>
  <w:num w:numId="11" w16cid:durableId="1633559154">
    <w:abstractNumId w:val="24"/>
  </w:num>
  <w:num w:numId="12" w16cid:durableId="551116445">
    <w:abstractNumId w:val="35"/>
  </w:num>
  <w:num w:numId="13" w16cid:durableId="1262227972">
    <w:abstractNumId w:val="29"/>
  </w:num>
  <w:num w:numId="14" w16cid:durableId="127358233">
    <w:abstractNumId w:val="1"/>
  </w:num>
  <w:num w:numId="15" w16cid:durableId="1248730307">
    <w:abstractNumId w:val="36"/>
  </w:num>
  <w:num w:numId="16" w16cid:durableId="358434901">
    <w:abstractNumId w:val="21"/>
  </w:num>
  <w:num w:numId="17" w16cid:durableId="884023325">
    <w:abstractNumId w:val="17"/>
  </w:num>
  <w:num w:numId="18" w16cid:durableId="644628653">
    <w:abstractNumId w:val="31"/>
  </w:num>
  <w:num w:numId="19" w16cid:durableId="1914000214">
    <w:abstractNumId w:val="10"/>
  </w:num>
  <w:num w:numId="20" w16cid:durableId="296645542">
    <w:abstractNumId w:val="39"/>
  </w:num>
  <w:num w:numId="21" w16cid:durableId="83496750">
    <w:abstractNumId w:val="34"/>
  </w:num>
  <w:num w:numId="22" w16cid:durableId="1281257023">
    <w:abstractNumId w:val="13"/>
  </w:num>
  <w:num w:numId="23" w16cid:durableId="1633436738">
    <w:abstractNumId w:val="14"/>
  </w:num>
  <w:num w:numId="24" w16cid:durableId="1702394186">
    <w:abstractNumId w:val="5"/>
  </w:num>
  <w:num w:numId="25" w16cid:durableId="1232427371">
    <w:abstractNumId w:val="16"/>
  </w:num>
  <w:num w:numId="26" w16cid:durableId="1562060677">
    <w:abstractNumId w:val="20"/>
  </w:num>
  <w:num w:numId="27" w16cid:durableId="313729532">
    <w:abstractNumId w:val="23"/>
  </w:num>
  <w:num w:numId="28" w16cid:durableId="1187253390">
    <w:abstractNumId w:val="0"/>
  </w:num>
  <w:num w:numId="29" w16cid:durableId="662362">
    <w:abstractNumId w:val="18"/>
  </w:num>
  <w:num w:numId="30" w16cid:durableId="1608351516">
    <w:abstractNumId w:val="22"/>
  </w:num>
  <w:num w:numId="31" w16cid:durableId="2108957473">
    <w:abstractNumId w:val="2"/>
  </w:num>
  <w:num w:numId="32" w16cid:durableId="1614940923">
    <w:abstractNumId w:val="7"/>
  </w:num>
  <w:num w:numId="33" w16cid:durableId="1215046326">
    <w:abstractNumId w:val="32"/>
  </w:num>
  <w:num w:numId="34" w16cid:durableId="2105035141">
    <w:abstractNumId w:val="38"/>
  </w:num>
  <w:num w:numId="35" w16cid:durableId="885920257">
    <w:abstractNumId w:val="6"/>
  </w:num>
  <w:num w:numId="36" w16cid:durableId="2053067414">
    <w:abstractNumId w:val="25"/>
  </w:num>
  <w:num w:numId="37" w16cid:durableId="1600790264">
    <w:abstractNumId w:val="37"/>
  </w:num>
  <w:num w:numId="38" w16cid:durableId="55669200">
    <w:abstractNumId w:val="27"/>
  </w:num>
  <w:num w:numId="39" w16cid:durableId="613825746">
    <w:abstractNumId w:val="26"/>
  </w:num>
  <w:num w:numId="40" w16cid:durableId="15208470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0556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D6290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6FA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50F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CA9C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873</Words>
  <Characters>4802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PEREDO MONTECINO</cp:lastModifiedBy>
  <cp:revision>43</cp:revision>
  <cp:lastPrinted>2019-12-16T20:10:00Z</cp:lastPrinted>
  <dcterms:created xsi:type="dcterms:W3CDTF">2021-12-31T12:50:00Z</dcterms:created>
  <dcterms:modified xsi:type="dcterms:W3CDTF">2026-10-12T16:14:00Z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