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7602F" w14:textId="77777777" w:rsidR="00374E60" w:rsidRPr="00CF36BC" w:rsidRDefault="00000000" w:rsidP="003B726F">
      <w:pPr>
        <w:spacing w:before="760" w:line="360" w:lineRule="auto"/>
        <w:jc w:val="both"/>
        <w:rPr>
          <w:rFonts w:ascii="Arial" w:hAnsi="Arial" w:cs="Arial"/>
          <w:lang w:val="es-CL"/>
        </w:rPr>
      </w:pPr>
      <w:r w:rsidRPr="00CF36BC">
        <w:rPr>
          <w:rFonts w:ascii="Arial" w:hAnsi="Arial" w:cs="Arial"/>
          <w:b/>
          <w:bCs/>
          <w:lang w:val="es-CL"/>
        </w:rPr>
        <w:t>DUOC UC PLAZA NORTE</w:t>
      </w:r>
    </w:p>
    <w:p w14:paraId="6631A178" w14:textId="77777777" w:rsidR="00374E60" w:rsidRPr="00CF36BC" w:rsidRDefault="00000000" w:rsidP="003B726F">
      <w:pPr>
        <w:pStyle w:val="Ttulo"/>
        <w:spacing w:before="480" w:after="360" w:line="360" w:lineRule="auto"/>
        <w:jc w:val="center"/>
        <w:rPr>
          <w:rFonts w:ascii="Arial" w:hAnsi="Arial" w:cs="Arial"/>
          <w:lang w:val="es-CL"/>
        </w:rPr>
      </w:pPr>
      <w:r>
        <w:rPr>
          <w:rFonts w:ascii="Arial" w:hAnsi="Arial" w:cs="Arial"/>
          <w:lang w:val="es-CL"/>
        </w:rPr>
        <w:t>Documento de inicio del proyecto AloApp</w:t>
      </w:r>
    </w:p>
    <w:p w14:paraId="190C73DA" w14:textId="77777777" w:rsidR="00374E60" w:rsidRPr="00CF36BC" w:rsidRDefault="00000000" w:rsidP="003B726F">
      <w:pPr>
        <w:pStyle w:val="Subttulo"/>
        <w:spacing w:line="360" w:lineRule="auto"/>
        <w:jc w:val="center"/>
        <w:rPr>
          <w:rFonts w:ascii="Arial" w:hAnsi="Arial" w:cs="Arial"/>
          <w:lang w:val="es-CL"/>
        </w:rPr>
      </w:pPr>
      <w:r>
        <w:rPr>
          <w:rFonts w:ascii="Arial" w:hAnsi="Arial" w:cs="Arial"/>
          <w:lang w:val="es-CL"/>
        </w:rPr>
        <w:t>Proyecto Capstone de Ingeniería en Informática</w:t>
      </w:r>
    </w:p>
    <w:p w14:paraId="0DC54452" w14:textId="77777777" w:rsidR="00374E60" w:rsidRPr="00CF36BC" w:rsidRDefault="00000000" w:rsidP="003B726F">
      <w:pPr>
        <w:pStyle w:val="Subttulo"/>
        <w:spacing w:line="360" w:lineRule="auto"/>
        <w:jc w:val="center"/>
        <w:rPr>
          <w:rFonts w:ascii="Arial" w:hAnsi="Arial" w:cs="Arial"/>
          <w:lang w:val="es-CL"/>
        </w:rPr>
      </w:pPr>
      <w:r>
        <w:rPr>
          <w:rFonts w:ascii="Arial" w:hAnsi="Arial" w:cs="Arial"/>
          <w:lang w:val="es-CL"/>
        </w:rPr>
        <w:t>AloApp, aplicación móvil para técnicos de mantenimiento de Alo Group</w:t>
      </w:r>
    </w:p>
    <w:p w14:paraId="0BB8018C" w14:textId="77777777" w:rsidR="00C56DF5" w:rsidRPr="00CF36BC" w:rsidRDefault="00C56DF5" w:rsidP="003B726F">
      <w:pPr>
        <w:spacing w:before="760" w:line="360" w:lineRule="auto"/>
        <w:jc w:val="both"/>
        <w:rPr>
          <w:rFonts w:ascii="Arial" w:hAnsi="Arial" w:cs="Arial"/>
          <w:b/>
          <w:bCs/>
          <w:lang w:val="es-CL"/>
        </w:rPr>
      </w:pPr>
    </w:p>
    <w:p w14:paraId="418DC8D7" w14:textId="77777777" w:rsidR="00C56DF5" w:rsidRPr="00CF36BC" w:rsidRDefault="00C56DF5" w:rsidP="003B726F">
      <w:pPr>
        <w:spacing w:before="760" w:line="360" w:lineRule="auto"/>
        <w:jc w:val="both"/>
        <w:rPr>
          <w:rFonts w:ascii="Arial" w:hAnsi="Arial" w:cs="Arial"/>
          <w:b/>
          <w:bCs/>
          <w:lang w:val="es-CL"/>
        </w:rPr>
      </w:pPr>
    </w:p>
    <w:p w14:paraId="2ABF8513" w14:textId="77777777" w:rsidR="00A05160" w:rsidRPr="00CF36BC" w:rsidRDefault="00A05160" w:rsidP="003B726F">
      <w:pPr>
        <w:spacing w:before="760" w:line="360" w:lineRule="auto"/>
        <w:jc w:val="both"/>
        <w:rPr>
          <w:rFonts w:ascii="Arial" w:hAnsi="Arial" w:cs="Arial"/>
          <w:b/>
          <w:bCs/>
          <w:lang w:val="es-CL"/>
        </w:rPr>
      </w:pPr>
    </w:p>
    <w:p w14:paraId="63DAB443" w14:textId="1DBF815C" w:rsidR="00374E60" w:rsidRPr="00CF36BC" w:rsidRDefault="00000000" w:rsidP="003B726F">
      <w:pPr>
        <w:spacing w:before="760" w:line="360" w:lineRule="auto"/>
        <w:jc w:val="right"/>
        <w:rPr>
          <w:rFonts w:ascii="Arial" w:hAnsi="Arial" w:cs="Arial"/>
          <w:lang w:val="es-CL"/>
        </w:rPr>
      </w:pPr>
      <w:r w:rsidRPr="00CF36BC">
        <w:rPr>
          <w:rFonts w:ascii="Arial" w:hAnsi="Arial" w:cs="Arial"/>
          <w:b/>
          <w:bCs/>
          <w:lang w:val="es-CL"/>
        </w:rPr>
        <w:t>Autores</w:t>
      </w:r>
    </w:p>
    <w:p w14:paraId="58424A33" w14:textId="4E9A849F" w:rsidR="00374E60" w:rsidRPr="00CF36BC" w:rsidRDefault="00000000" w:rsidP="003B726F">
      <w:pPr>
        <w:spacing w:line="360" w:lineRule="auto"/>
        <w:jc w:val="right"/>
        <w:rPr>
          <w:rFonts w:ascii="Arial" w:hAnsi="Arial" w:cs="Arial"/>
          <w:lang w:val="es-CL"/>
        </w:rPr>
      </w:pPr>
      <w:r>
        <w:rPr>
          <w:rFonts w:ascii="Arial" w:hAnsi="Arial" w:cs="Arial"/>
          <w:lang w:val="es-CL"/>
        </w:rPr>
        <w:t>Kevin Pered</w:t>
      </w:r>
      <w:r w:rsidR="002A2676">
        <w:rPr>
          <w:rFonts w:ascii="Arial" w:hAnsi="Arial" w:cs="Arial"/>
          <w:lang w:val="es-CL"/>
        </w:rPr>
        <w:t>o</w:t>
      </w:r>
      <w:r>
        <w:rPr>
          <w:rFonts w:ascii="Arial" w:hAnsi="Arial" w:cs="Arial"/>
          <w:lang w:val="es-CL"/>
        </w:rPr>
        <w:br/>
        <w:t>Ian Ampuero</w:t>
      </w:r>
    </w:p>
    <w:p w14:paraId="3C32088A" w14:textId="77777777" w:rsidR="00846AEE" w:rsidRPr="00CF36BC" w:rsidRDefault="00846AEE" w:rsidP="003B726F">
      <w:pPr>
        <w:spacing w:line="360" w:lineRule="auto"/>
        <w:jc w:val="both"/>
        <w:rPr>
          <w:rFonts w:ascii="Arial" w:hAnsi="Arial" w:cs="Arial"/>
          <w:lang w:val="es-CL"/>
        </w:rPr>
      </w:pPr>
    </w:p>
    <w:p w14:paraId="17F71F09" w14:textId="77777777" w:rsidR="00846AEE" w:rsidRPr="00CF36BC" w:rsidRDefault="00846AEE" w:rsidP="003B726F">
      <w:pPr>
        <w:spacing w:line="360" w:lineRule="auto"/>
        <w:jc w:val="both"/>
        <w:rPr>
          <w:rFonts w:ascii="Arial" w:hAnsi="Arial" w:cs="Arial"/>
          <w:lang w:val="es-CL"/>
        </w:rPr>
      </w:pPr>
    </w:p>
    <w:p w14:paraId="67C571C4" w14:textId="77777777" w:rsidR="00846AEE" w:rsidRPr="00CF36BC" w:rsidRDefault="00846AEE" w:rsidP="003B726F">
      <w:pPr>
        <w:spacing w:line="360" w:lineRule="auto"/>
        <w:jc w:val="both"/>
        <w:rPr>
          <w:rFonts w:ascii="Arial" w:hAnsi="Arial" w:cs="Arial"/>
          <w:lang w:val="es-CL"/>
        </w:rPr>
      </w:pPr>
    </w:p>
    <w:p w14:paraId="4D75CCD6" w14:textId="77777777" w:rsidR="00846AEE" w:rsidRPr="00CF36BC" w:rsidRDefault="00846AEE" w:rsidP="003B726F">
      <w:pPr>
        <w:spacing w:line="360" w:lineRule="auto"/>
        <w:jc w:val="right"/>
        <w:rPr>
          <w:rFonts w:ascii="Arial" w:hAnsi="Arial" w:cs="Arial"/>
          <w:lang w:val="es-CL"/>
        </w:rPr>
      </w:pPr>
    </w:p>
    <w:p w14:paraId="02257AE5" w14:textId="51077186" w:rsidR="00374E60" w:rsidRPr="00CF36BC" w:rsidRDefault="00000000" w:rsidP="003B726F">
      <w:pPr>
        <w:spacing w:line="360" w:lineRule="auto"/>
        <w:jc w:val="right"/>
        <w:rPr>
          <w:rFonts w:ascii="Arial" w:hAnsi="Arial" w:cs="Arial"/>
          <w:lang w:val="es-CL"/>
        </w:rPr>
      </w:pPr>
      <w:r>
        <w:rPr>
          <w:rFonts w:ascii="Arial" w:hAnsi="Arial" w:cs="Arial"/>
          <w:lang w:val="es-CL"/>
        </w:rPr>
        <w:t>Docente Marcela Alejandra González Quezada</w:t>
      </w:r>
    </w:p>
    <w:p w14:paraId="233A165D" w14:textId="515DFBD9" w:rsidR="00374E60" w:rsidRPr="003B726F" w:rsidRDefault="00000000" w:rsidP="003B726F">
      <w:pPr>
        <w:spacing w:line="360" w:lineRule="auto"/>
        <w:jc w:val="both"/>
        <w:rPr>
          <w:rFonts w:ascii="Arial" w:hAnsi="Arial" w:cs="Arial"/>
          <w:lang w:val="es-CL"/>
        </w:rPr>
      </w:pPr>
      <w:r w:rsidRPr="00CF36BC">
        <w:rPr>
          <w:rFonts w:ascii="Arial" w:hAnsi="Arial" w:cs="Arial"/>
          <w:lang w:val="es-CL"/>
        </w:rPr>
        <w:br w:type="page"/>
      </w:r>
      <w:bookmarkStart w:id="0" w:name="_Toc242035810"/>
      <w:r w:rsidRPr="00CF36BC">
        <w:rPr>
          <w:rFonts w:ascii="Arial" w:hAnsi="Arial" w:cs="Arial"/>
        </w:rPr>
        <w:lastRenderedPageBreak/>
        <w:t>Índice</w:t>
      </w:r>
      <w:bookmarkEnd w:id="0"/>
    </w:p>
    <w:sdt>
      <w:sdtPr>
        <w:rPr>
          <w:rFonts w:ascii="Arial" w:hAnsi="Arial" w:cs="Arial"/>
          <w:b w:val="0"/>
          <w:bCs w:val="0"/>
          <w:color w:val="auto"/>
          <w:sz w:val="22"/>
          <w:szCs w:val="22"/>
        </w:rPr>
        <w:id w:val="-2143496278"/>
        <w:docPartObj>
          <w:docPartGallery w:val="Table of Contents"/>
          <w:docPartUnique/>
        </w:docPartObj>
      </w:sdtPr>
      <w:sdtEndPr>
        <w:rPr>
          <w:noProof/>
        </w:rPr>
      </w:sdtEndPr>
      <w:sdtContent>
        <w:p w14:paraId="2018BA24" w14:textId="4F5F4A16" w:rsidR="00846AEE" w:rsidRPr="00CF36BC" w:rsidRDefault="00846AEE" w:rsidP="003B726F">
          <w:pPr>
            <w:pStyle w:val="TtuloTDC"/>
            <w:spacing w:line="360" w:lineRule="auto"/>
            <w:jc w:val="both"/>
            <w:rPr>
              <w:rFonts w:ascii="Arial" w:hAnsi="Arial" w:cs="Arial"/>
            </w:rPr>
          </w:pPr>
          <w:r w:rsidRPr="00CF36BC">
            <w:rPr>
              <w:rFonts w:ascii="Arial" w:hAnsi="Arial" w:cs="Arial"/>
            </w:rPr>
            <w:t>Table of Contents</w:t>
          </w:r>
        </w:p>
        <w:p w14:paraId="6AC9B1B7" w14:textId="192DD1D3" w:rsidR="00846AEE" w:rsidRPr="00CF36BC" w:rsidRDefault="00846AEE" w:rsidP="003B726F">
          <w:pPr>
            <w:pStyle w:val="TDC1"/>
            <w:tabs>
              <w:tab w:val="right" w:leader="dot" w:pos="9638"/>
            </w:tabs>
            <w:spacing w:line="360" w:lineRule="auto"/>
            <w:jc w:val="both"/>
            <w:rPr>
              <w:rFonts w:ascii="Arial" w:hAnsi="Arial" w:cs="Arial"/>
              <w:noProof/>
            </w:rPr>
          </w:pPr>
          <w:r w:rsidRPr="00CF36BC">
            <w:rPr>
              <w:rFonts w:ascii="Arial" w:hAnsi="Arial" w:cs="Arial"/>
            </w:rPr>
            <w:fldChar w:fldCharType="begin"/>
          </w:r>
          <w:r w:rsidRPr="00CF36BC">
            <w:rPr>
              <w:rFonts w:ascii="Arial" w:hAnsi="Arial" w:cs="Arial"/>
            </w:rPr>
            <w:instrText xml:space="preserve"> TOC \o "1-3" \h \z \u </w:instrText>
          </w:r>
          <w:r w:rsidRPr="00CF36BC">
            <w:rPr>
              <w:rFonts w:ascii="Arial" w:hAnsi="Arial" w:cs="Arial"/>
            </w:rPr>
            <w:fldChar w:fldCharType="separate"/>
          </w:r>
          <w:hyperlink w:anchor="_Toc242035810" w:history="1">
            <w:r w:rsidRPr="00CF36BC">
              <w:rPr>
                <w:rStyle w:val="Hipervnculo"/>
                <w:rFonts w:ascii="Arial" w:hAnsi="Arial" w:cs="Arial"/>
                <w:noProof/>
              </w:rPr>
              <w:t>Índice</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2</w:t>
            </w:r>
            <w:r w:rsidRPr="00CF36BC">
              <w:rPr>
                <w:rFonts w:ascii="Arial" w:hAnsi="Arial" w:cs="Arial"/>
                <w:noProof/>
                <w:webHidden/>
              </w:rPr>
              <w:fldChar w:fldCharType="end"/>
            </w:r>
          </w:hyperlink>
        </w:p>
        <w:p w14:paraId="56B39DBC" w14:textId="17B44E9C" w:rsidR="00846AEE" w:rsidRPr="00CF36BC" w:rsidRDefault="00846AEE" w:rsidP="003B726F">
          <w:pPr>
            <w:pStyle w:val="TDC1"/>
            <w:tabs>
              <w:tab w:val="right" w:leader="dot" w:pos="9638"/>
            </w:tabs>
            <w:spacing w:line="360" w:lineRule="auto"/>
            <w:jc w:val="both"/>
            <w:rPr>
              <w:rFonts w:ascii="Arial" w:hAnsi="Arial" w:cs="Arial"/>
              <w:noProof/>
            </w:rPr>
          </w:pPr>
          <w:hyperlink w:anchor="_Toc242035811" w:history="1">
            <w:r w:rsidRPr="00CF36BC">
              <w:rPr>
                <w:rStyle w:val="Hipervnculo"/>
                <w:rFonts w:ascii="Arial" w:hAnsi="Arial" w:cs="Arial"/>
                <w:noProof/>
                <w:lang w:val="es-CL"/>
              </w:rPr>
              <w:t>1 Resumen ejecutivo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_Toc242035811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3</w:t>
            </w:r>
            <w:r w:rsidRPr="00CF36BC">
              <w:rPr>
                <w:rFonts w:ascii="Arial" w:hAnsi="Arial" w:cs="Arial"/>
                <w:noProof/>
                <w:webHidden/>
              </w:rPr>
              <w:fldChar w:fldCharType="end"/>
            </w:r>
          </w:hyperlink>
        </w:p>
        <w:p w14:paraId="54655BBA"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2" w:history="1">
            <w:r w:rsidRPr="00CF36BC">
              <w:rPr>
                <w:rStyle w:val="Hipervnculo"/>
                <w:rFonts w:ascii="Arial" w:hAnsi="Arial" w:cs="Arial"/>
                <w:noProof/>
                <w:lang w:val="es-CL"/>
              </w:rPr>
              <w:t>2 Introducción</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_Toc242035812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3</w:t>
            </w:r>
            <w:r w:rsidRPr="00CF36BC">
              <w:rPr>
                <w:rFonts w:ascii="Arial" w:hAnsi="Arial" w:cs="Arial"/>
                <w:noProof/>
                <w:webHidden/>
              </w:rPr>
              <w:fldChar w:fldCharType="end"/>
            </w:r>
          </w:hyperlink>
        </w:p>
        <w:p w14:paraId="4F7CC75C"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3" w:history="1">
            <w:r w:rsidRPr="00CF36BC">
              <w:rPr>
                <w:rStyle w:val="Hipervnculo"/>
                <w:rFonts w:ascii="Arial" w:hAnsi="Arial" w:cs="Arial"/>
                <w:noProof/>
                <w:lang w:val="es-CL"/>
              </w:rPr>
              <w:t>3 Definición del problema y justificación</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_Toc242035813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4</w:t>
            </w:r>
            <w:r w:rsidRPr="00CF36BC">
              <w:rPr>
                <w:rFonts w:ascii="Arial" w:hAnsi="Arial" w:cs="Arial"/>
                <w:noProof/>
                <w:webHidden/>
              </w:rPr>
              <w:fldChar w:fldCharType="end"/>
            </w:r>
          </w:hyperlink>
        </w:p>
        <w:p w14:paraId="00F8F7A2"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4" w:history="1">
            <w:r w:rsidRPr="00CF36BC">
              <w:rPr>
                <w:rStyle w:val="Hipervnculo"/>
                <w:rFonts w:ascii="Arial" w:hAnsi="Arial" w:cs="Arial"/>
                <w:noProof/>
                <w:lang w:val="es-CL"/>
              </w:rPr>
              <w:t>4 Vinculación con la definición APT</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_Toc242035814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4</w:t>
            </w:r>
            <w:r w:rsidRPr="00CF36BC">
              <w:rPr>
                <w:rFonts w:ascii="Arial" w:hAnsi="Arial" w:cs="Arial"/>
                <w:noProof/>
                <w:webHidden/>
              </w:rPr>
              <w:fldChar w:fldCharType="end"/>
            </w:r>
          </w:hyperlink>
        </w:p>
        <w:p w14:paraId="6A40A1D8"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5" w:history="1">
            <w:r w:rsidRPr="00CF36BC">
              <w:rPr>
                <w:rStyle w:val="Hipervnculo"/>
                <w:rFonts w:ascii="Arial" w:hAnsi="Arial" w:cs="Arial"/>
                <w:noProof/>
                <w:lang w:val="es-CL"/>
              </w:rPr>
              <w:t>5 Objetivos y resultados verificables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_Toc242035815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4C8DCAD0"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6" w:history="1">
            <w:r w:rsidRPr="00CF36BC">
              <w:rPr>
                <w:rStyle w:val="Hipervnculo"/>
                <w:rFonts w:ascii="Arial" w:hAnsi="Arial" w:cs="Arial"/>
                <w:noProof/>
                <w:lang w:val="es-CL"/>
              </w:rPr>
              <w:t>6 Interesados y responsabilidades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_Toc242035816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76AA6FB7"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7" w:history="1">
            <w:r w:rsidRPr="00CF36BC">
              <w:rPr>
                <w:rStyle w:val="Hipervnculo"/>
                <w:rFonts w:ascii="Arial" w:hAnsi="Arial" w:cs="Arial"/>
                <w:noProof/>
                <w:lang w:val="es-CL"/>
              </w:rPr>
              <w:t>7 Alcance y restricciones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_Toc242035817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6</w:t>
            </w:r>
            <w:r w:rsidRPr="00CF36BC">
              <w:rPr>
                <w:rFonts w:ascii="Arial" w:hAnsi="Arial" w:cs="Arial"/>
                <w:noProof/>
                <w:webHidden/>
              </w:rPr>
              <w:fldChar w:fldCharType="end"/>
            </w:r>
          </w:hyperlink>
        </w:p>
        <w:p w14:paraId="038CBDBD"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8" w:history="1">
            <w:r w:rsidRPr="00CF36BC">
              <w:rPr>
                <w:rStyle w:val="Hipervnculo"/>
                <w:rFonts w:ascii="Arial" w:hAnsi="Arial" w:cs="Arial"/>
                <w:noProof/>
                <w:lang w:val="es-CL"/>
              </w:rPr>
              <w:t>8 Gestión de riesgos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_Toc242035818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6</w:t>
            </w:r>
            <w:r w:rsidRPr="00CF36BC">
              <w:rPr>
                <w:rFonts w:ascii="Arial" w:hAnsi="Arial" w:cs="Arial"/>
                <w:noProof/>
                <w:webHidden/>
              </w:rPr>
              <w:fldChar w:fldCharType="end"/>
            </w:r>
          </w:hyperlink>
        </w:p>
        <w:p w14:paraId="4957B1AF"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19" w:history="1">
            <w:r w:rsidRPr="00CF36BC">
              <w:rPr>
                <w:rStyle w:val="Hipervnculo"/>
                <w:rFonts w:ascii="Arial" w:hAnsi="Arial" w:cs="Arial"/>
                <w:noProof/>
                <w:lang w:val="es-CL"/>
              </w:rPr>
              <w:t>9 Criterios de éxito y gobernanza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_Toc242035819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7</w:t>
            </w:r>
            <w:r w:rsidRPr="00CF36BC">
              <w:rPr>
                <w:rFonts w:ascii="Arial" w:hAnsi="Arial" w:cs="Arial"/>
                <w:noProof/>
                <w:webHidden/>
              </w:rPr>
              <w:fldChar w:fldCharType="end"/>
            </w:r>
          </w:hyperlink>
        </w:p>
        <w:p w14:paraId="44485EFD" w14:textId="77777777" w:rsidR="00846AEE" w:rsidRPr="00CF36BC" w:rsidRDefault="00846AEE" w:rsidP="003B726F">
          <w:pPr>
            <w:pStyle w:val="TDC1"/>
            <w:tabs>
              <w:tab w:val="right" w:leader="dot" w:pos="9638"/>
            </w:tabs>
            <w:spacing w:line="360" w:lineRule="auto"/>
            <w:jc w:val="both"/>
            <w:rPr>
              <w:rFonts w:ascii="Arial" w:hAnsi="Arial" w:cs="Arial"/>
              <w:noProof/>
            </w:rPr>
          </w:pPr>
          <w:hyperlink w:anchor="_Toc242035820" w:history="1">
            <w:r w:rsidRPr="00CF36BC">
              <w:rPr>
                <w:rStyle w:val="Hipervnculo"/>
                <w:rFonts w:ascii="Arial" w:hAnsi="Arial" w:cs="Arial"/>
                <w:noProof/>
                <w:lang w:val="es-CL"/>
              </w:rPr>
              <w:t>10 Conclusiones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7</w:t>
            </w:r>
            <w:r w:rsidRPr="00CF36BC">
              <w:rPr>
                <w:rFonts w:ascii="Arial" w:hAnsi="Arial" w:cs="Arial"/>
                <w:noProof/>
                <w:webHidden/>
              </w:rPr>
              <w:fldChar w:fldCharType="end"/>
            </w:r>
          </w:hyperlink>
        </w:p>
        <w:p w14:paraId="6FA9AB86" w14:textId="49C2C07D" w:rsidR="00846AEE" w:rsidRPr="00CF36BC" w:rsidRDefault="00846AEE" w:rsidP="003B726F">
          <w:pPr>
            <w:spacing w:line="360" w:lineRule="auto"/>
            <w:jc w:val="both"/>
            <w:rPr>
              <w:rFonts w:ascii="Arial" w:hAnsi="Arial" w:cs="Arial"/>
            </w:rPr>
          </w:pPr>
          <w:r w:rsidRPr="00CF36BC">
            <w:rPr>
              <w:rFonts w:ascii="Arial" w:hAnsi="Arial" w:cs="Arial"/>
              <w:b/>
              <w:bCs/>
              <w:noProof/>
            </w:rPr>
            <w:fldChar w:fldCharType="end"/>
          </w:r>
        </w:p>
      </w:sdtContent>
    </w:sdt>
    <w:p w14:paraId="742491DF" w14:textId="77777777" w:rsidR="00374E60" w:rsidRPr="00CF36BC" w:rsidRDefault="00000000" w:rsidP="003B726F">
      <w:pPr>
        <w:spacing w:line="360" w:lineRule="auto"/>
        <w:jc w:val="both"/>
        <w:rPr>
          <w:rFonts w:ascii="Arial" w:hAnsi="Arial" w:cs="Arial"/>
        </w:rPr>
      </w:pPr>
      <w:r w:rsidRPr="00CF36BC">
        <w:rPr>
          <w:rFonts w:ascii="Arial" w:hAnsi="Arial" w:cs="Arial"/>
        </w:rPr>
        <w:br w:type="page"/>
      </w:r>
    </w:p>
    <w:p w14:paraId="39FD18F7" w14:textId="77777777" w:rsidR="00374E60" w:rsidRPr="00CF36BC" w:rsidRDefault="00000000" w:rsidP="003B726F">
      <w:pPr>
        <w:pStyle w:val="Ttulo1"/>
        <w:spacing w:line="360" w:lineRule="auto"/>
        <w:jc w:val="both"/>
        <w:rPr>
          <w:rFonts w:ascii="Arial" w:hAnsi="Arial" w:cs="Arial"/>
          <w:lang w:val="es-CL"/>
        </w:rPr>
      </w:pPr>
      <w:bookmarkStart w:id="1" w:name="_Toc242035811"/>
      <w:r>
        <w:rPr>
          <w:rFonts w:ascii="Arial" w:hAnsi="Arial" w:cs="Arial"/>
          <w:lang w:val="es-CL"/>
        </w:rPr>
        <w:lastRenderedPageBreak/>
        <w:t>1 Resumen ejecutivo</w:t>
      </w:r>
      <w:bookmarkEnd w:id="1"/>
    </w:p>
    <w:p w14:paraId="3DB3866F"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AloApp (ALO Field App) es una aplicación móvil en Flutter para técnicos de mantenimiento de Alo Group, una empresa real cuyas operaciones se ejecutan en terreno. El técnico se identifica con su correo corporativo, consulta las órdenes de mantención que le corresponden en SAP Business One y registra su avance en terreno: las tareas y los materiales de la orden en SAP, el ciclo de estado de su actividad en el dispositivo y la consulta de la ubicación de la obra. La solución se desarrolla como Proyecto APT del Capstone de Ingeniería en Informática en Duoc UC Plaza Norte, por Kevin Peredo e Ian Ampuero, bajo una metodología tradicional o en cascada organizada en las tres fases de la asignatura.</w:t>
      </w:r>
    </w:p>
    <w:p w14:paraId="2770F6A3"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proyecto busca poner al alcance del técnico, durante su jornada, la información de sus órdenes, que reside en SAP Business One. Su propuesta combina una arquitectura Feature-First en capas (Presentation, BLoC, Repository y Service), desacoplada de la fuente de datos, con un control de acceso que restringe a cada técnico a las órdenes que le corresponden. El stack es Flutter y Dart, flutter_bloc, go_router, Dio, get_it, flutter_secure_storage y flutter_dotenv, con integración a SAP B1 Service Layer a través de un proxy local de desarrollo y el código versionado en GitHub (kurito777/AloApp).</w:t>
      </w:r>
    </w:p>
    <w:p w14:paraId="33B2A62E"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Este documento formaliza propósito, objetivos, interesados, alcance, restricciones y criterios de éxito. Debe leerse junto con la Especificación de Requisitos (SRS), los Requisitos no funcionales, la Arquitectura y el Plan de Pruebas.</w:t>
      </w:r>
    </w:p>
    <w:p w14:paraId="679DF9D1" w14:textId="77777777" w:rsidR="00374E60" w:rsidRPr="00CF36BC" w:rsidRDefault="00000000" w:rsidP="003B726F">
      <w:pPr>
        <w:pStyle w:val="Ttulo1"/>
        <w:spacing w:line="360" w:lineRule="auto"/>
        <w:jc w:val="both"/>
        <w:rPr>
          <w:rFonts w:ascii="Arial" w:hAnsi="Arial" w:cs="Arial"/>
          <w:lang w:val="es-CL"/>
        </w:rPr>
      </w:pPr>
      <w:bookmarkStart w:id="2" w:name="_Toc242035812"/>
      <w:r>
        <w:rPr>
          <w:rFonts w:ascii="Arial" w:hAnsi="Arial" w:cs="Arial"/>
          <w:lang w:val="es-CL"/>
        </w:rPr>
        <w:t>2 Introducción</w:t>
      </w:r>
      <w:bookmarkEnd w:id="2"/>
    </w:p>
    <w:p w14:paraId="3285AF3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digitalización de los procesos de mantenimiento y servicio en terreno (</w:t>
      </w:r>
      <w:r>
        <w:rPr>
          <w:rFonts w:ascii="Arial" w:hAnsi="Arial" w:cs="Arial"/>
          <w:i/>
          <w:iCs/>
          <w:lang w:val="es-CL"/>
        </w:rPr>
        <w:t>field service management</w:t>
      </w:r>
      <w:r>
        <w:rPr>
          <w:rFonts w:ascii="Arial" w:hAnsi="Arial" w:cs="Arial"/>
          <w:lang w:val="es-CL"/>
        </w:rPr>
        <w:t>) es una necesidad para las empresas que dependen de técnicos desplazados fuera de una oficina central. Cuando la información de las órdenes de trabajo permanece solo en sistemas de escritorio o bases de datos internas, el técnico pierde visibilidad inmediata de sus tareas y la organización pierde trazabilidad sobre cuándo y cómo se resuelve cada intervención.</w:t>
      </w:r>
    </w:p>
    <w:p w14:paraId="4DA017E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AloApp responde a esa necesidad para Alo Group, una empresa real de mantenimiento. Su aporte está en cómo resuelve, sobre un caso concreto, la identificación del técnico, el acceso controlado a la información que le corresponde y una arquitectura desacoplada de la fuente de datos, que permite evolucionar el sistema sin reescribir la aplicación móvil. El caso de Alo Group es el escenario sobre el que se valida el diseño.</w:t>
      </w:r>
    </w:p>
    <w:p w14:paraId="11C24FA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lastRenderedPageBreak/>
        <w:t>La formulación del problema procede de la documentación de Fase 1 elaborada por el equipo (Informe de Fase 1, Acta de Constitución y Ficha de Proyecto) y del estado actual del código del repositorio. Este documento se apoya en esas evidencias.</w:t>
      </w:r>
    </w:p>
    <w:p w14:paraId="6676F68F" w14:textId="77777777" w:rsidR="00374E60" w:rsidRPr="00CF36BC" w:rsidRDefault="00000000" w:rsidP="003B726F">
      <w:pPr>
        <w:pStyle w:val="Ttulo1"/>
        <w:spacing w:line="360" w:lineRule="auto"/>
        <w:jc w:val="both"/>
        <w:rPr>
          <w:rFonts w:ascii="Arial" w:hAnsi="Arial" w:cs="Arial"/>
          <w:lang w:val="es-CL"/>
        </w:rPr>
      </w:pPr>
      <w:bookmarkStart w:id="3" w:name="_Toc242035813"/>
      <w:r>
        <w:rPr>
          <w:rFonts w:ascii="Arial" w:hAnsi="Arial" w:cs="Arial"/>
          <w:lang w:val="es-CL"/>
        </w:rPr>
        <w:t>3 Definición del problema y justificación</w:t>
      </w:r>
      <w:bookmarkEnd w:id="3"/>
    </w:p>
    <w:p w14:paraId="7CDDC8E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problema no consiste únicamente en mostrar una lista de tareas. La información de las órdenes no llega de forma directa al técnico en terreno, no existe una vista clara y filtrada de las tareas asignadas a cada técnico y la consulta depende de registros no centralizados o de terceros, lo que afecta la trazabilidad de las operaciones.</w:t>
      </w:r>
    </w:p>
    <w:p w14:paraId="63722B6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AloApp se justifica por el valor de negocio que entrega: reduce tiempos muertos y errores de coordinación, da visibilidad inmediata del trabajo asignado a cada técnico, permite registrar el avance de cada orden desde terreno y establece una base tecnológica desacoplada sobre la cual crecer, con nuevas integraciones y funciones, sin rehacer la aplicación. El control de acceso por técnico protege además la confidencialidad de la información operativa de Alo Group.</w:t>
      </w:r>
    </w:p>
    <w:p w14:paraId="2DF7D94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relevancia académica proviene de integrar, sobre un caso empresarial real, desarrollo móvil con buenas prácticas, integración con un ERP existente (SAP Business One), control de acceso, pruebas y gestión del proyecto. Ninguno de esos elementos se acredita solo con una declaración: el repositorio, los requisitos, el diseño y las evidencias de prueba deben permitir que otro evaluador siga el mismo trabajo.</w:t>
      </w:r>
    </w:p>
    <w:p w14:paraId="18571784" w14:textId="77777777" w:rsidR="00374E60" w:rsidRPr="00CF36BC" w:rsidRDefault="00000000" w:rsidP="003B726F">
      <w:pPr>
        <w:pStyle w:val="Ttulo1"/>
        <w:spacing w:line="360" w:lineRule="auto"/>
        <w:jc w:val="both"/>
        <w:rPr>
          <w:rFonts w:ascii="Arial" w:hAnsi="Arial" w:cs="Arial"/>
          <w:lang w:val="es-CL"/>
        </w:rPr>
      </w:pPr>
      <w:bookmarkStart w:id="4" w:name="_Toc242035814"/>
      <w:r>
        <w:rPr>
          <w:rFonts w:ascii="Arial" w:hAnsi="Arial" w:cs="Arial"/>
          <w:lang w:val="es-CL"/>
        </w:rPr>
        <w:t>4 Vinculación con la definición APT</w:t>
      </w:r>
      <w:bookmarkEnd w:id="4"/>
    </w:p>
    <w:p w14:paraId="602DE88F"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Informe de Fase 1 vincula el proyecto con cuatro competencias del perfil de egreso de Ingeniería en Informática. Desarrollar una solución de software con técnicas que sistematicen el desarrollo y el mantenimiento se apoya en la arquitectura Feature-First en capas y el control de versiones, y el equipo la declara con nivel Excelente Dominio. Gestionar proyectos informáticos se apoya en la planificación por fases, el alcance acotado, el plan de trabajo y la carta Gantt, con nivel Alto Dominio. Construir modelos de datos que soporten los requerimientos se apoya en la capa de acceso a datos desacoplada sobre los datos existentes de Alo Group, con nivel Alto Dominio. Realizar pruebas de certificación se apoya en las pruebas funcionales y automatizadas, y es la competencia que el proyecto permite fortalecer.</w:t>
      </w:r>
    </w:p>
    <w:p w14:paraId="5C3FAC56"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Los intereses profesionales de los integrantes también se vinculan con el proyecto. Kevin Peredo se orienta al desarrollo móvil, la integración de sistemas y el aseguramiento de calidad, y Ian Ampuero a la arquitectura de software y al desarrollo móvil.</w:t>
      </w:r>
    </w:p>
    <w:p w14:paraId="11C338C9" w14:textId="77777777" w:rsidR="00374E60" w:rsidRPr="00CF36BC" w:rsidRDefault="00000000" w:rsidP="003B726F">
      <w:pPr>
        <w:spacing w:line="360" w:lineRule="auto"/>
        <w:jc w:val="both"/>
        <w:rPr>
          <w:rFonts w:ascii="Arial" w:hAnsi="Arial" w:cs="Arial"/>
          <w:lang w:val="es-CL"/>
        </w:rPr>
      </w:pPr>
      <w:r>
        <w:rPr>
          <w:rFonts w:ascii="Arial" w:hAnsi="Arial" w:cs="Arial"/>
          <w:lang w:val="es-CL"/>
        </w:rPr>
        <w:lastRenderedPageBreak/>
        <w:t>La cobertura de los requisitos se controla mediante la Matriz de Trazabilidad, y la validación funcional queda registrada en el Plan de Pruebas.</w:t>
      </w:r>
    </w:p>
    <w:p w14:paraId="09662CD2" w14:textId="77777777" w:rsidR="00374E60" w:rsidRPr="00CF36BC" w:rsidRDefault="00000000" w:rsidP="003B726F">
      <w:pPr>
        <w:pStyle w:val="Ttulo1"/>
        <w:spacing w:line="360" w:lineRule="auto"/>
        <w:jc w:val="both"/>
        <w:rPr>
          <w:rFonts w:ascii="Arial" w:hAnsi="Arial" w:cs="Arial"/>
          <w:lang w:val="es-CL"/>
        </w:rPr>
      </w:pPr>
      <w:bookmarkStart w:id="5" w:name="_Toc242035815"/>
      <w:r>
        <w:rPr>
          <w:rFonts w:ascii="Arial" w:hAnsi="Arial" w:cs="Arial"/>
          <w:lang w:val="es-CL"/>
        </w:rPr>
        <w:t>5 Objetivos y resultados verificables</w:t>
      </w:r>
      <w:bookmarkEnd w:id="5"/>
    </w:p>
    <w:p w14:paraId="2FD237C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objetivo general es desarrollar AloApp, una aplicación móvil en Flutter que permita a los técnicos de mantenimiento de Alo Group autenticarse y consultar de manera oportuna, ordenada y exclusiva las órdenes de mantenimiento que les corresponden, mediante una arquitectura desacoplada que mejore el control operativo y la trazabilidad de las intervenciones en terreno. Los objetivos específicos de Fase 1 se mantienen y se expresan con resultados observables para facilitar su evaluación.</w:t>
      </w:r>
    </w:p>
    <w:tbl>
      <w:tblPr>
        <w:tblStyle w:val="a"/>
        <w:tblW w:w="964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258"/>
        <w:gridCol w:w="4281"/>
        <w:gridCol w:w="3108"/>
      </w:tblGrid>
      <w:tr w:rsidR="00374E60" w:rsidRPr="00CF36BC" w14:paraId="359A4033" w14:textId="77777777">
        <w:trPr>
          <w:cantSplit/>
          <w:tblHeader/>
          <w:jc w:val="center"/>
        </w:trPr>
        <w:tc>
          <w:tcPr>
            <w:tcW w:w="2258" w:type="dxa"/>
            <w:shd w:val="clear" w:color="auto" w:fill="404040"/>
            <w:vAlign w:val="center"/>
          </w:tcPr>
          <w:p w14:paraId="5A0BE25D"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Objetivo</w:t>
            </w:r>
          </w:p>
        </w:tc>
        <w:tc>
          <w:tcPr>
            <w:tcW w:w="4281" w:type="dxa"/>
            <w:shd w:val="clear" w:color="auto" w:fill="404040"/>
            <w:vAlign w:val="center"/>
          </w:tcPr>
          <w:p w14:paraId="14F7F7B5"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Resultado verificable</w:t>
            </w:r>
          </w:p>
        </w:tc>
        <w:tc>
          <w:tcPr>
            <w:tcW w:w="3108" w:type="dxa"/>
            <w:shd w:val="clear" w:color="auto" w:fill="404040"/>
            <w:vAlign w:val="center"/>
          </w:tcPr>
          <w:p w14:paraId="07E6A024"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Evidencia</w:t>
            </w:r>
          </w:p>
        </w:tc>
      </w:tr>
      <w:tr w:rsidR="00374E60" w:rsidRPr="003B726F" w14:paraId="3CD64C23" w14:textId="77777777">
        <w:trPr>
          <w:cantSplit/>
          <w:jc w:val="center"/>
        </w:trPr>
        <w:tc>
          <w:tcPr>
            <w:tcW w:w="2258" w:type="dxa"/>
            <w:shd w:val="clear" w:color="auto" w:fill="FFFFFF"/>
            <w:vAlign w:val="center"/>
          </w:tcPr>
          <w:p w14:paraId="799DA410"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Autenticar al técnico (OE1)</w:t>
            </w:r>
          </w:p>
        </w:tc>
        <w:tc>
          <w:tcPr>
            <w:tcW w:w="4281" w:type="dxa"/>
            <w:shd w:val="clear" w:color="auto" w:fill="FFFFFF"/>
            <w:vAlign w:val="center"/>
          </w:tcPr>
          <w:p w14:paraId="2FABFB37"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El técnico ingresa con su correo corporativo y la aplicación resuelve su identidad en SAP Business One</w:t>
            </w:r>
          </w:p>
        </w:tc>
        <w:tc>
          <w:tcPr>
            <w:tcW w:w="3108" w:type="dxa"/>
            <w:shd w:val="clear" w:color="auto" w:fill="FFFFFF"/>
            <w:vAlign w:val="center"/>
          </w:tcPr>
          <w:p w14:paraId="73D13B21"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Pruebas funcionales de identificación</w:t>
            </w:r>
          </w:p>
        </w:tc>
      </w:tr>
      <w:tr w:rsidR="00374E60" w:rsidRPr="00CF36BC" w14:paraId="2320986C" w14:textId="77777777">
        <w:trPr>
          <w:cantSplit/>
          <w:jc w:val="center"/>
        </w:trPr>
        <w:tc>
          <w:tcPr>
            <w:tcW w:w="2258" w:type="dxa"/>
            <w:shd w:val="clear" w:color="auto" w:fill="F4F4F4"/>
            <w:vAlign w:val="center"/>
          </w:tcPr>
          <w:p w14:paraId="0433AAF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Desacoplar el acceso a datos (OE2)</w:t>
            </w:r>
          </w:p>
        </w:tc>
        <w:tc>
          <w:tcPr>
            <w:tcW w:w="4281" w:type="dxa"/>
            <w:shd w:val="clear" w:color="auto" w:fill="F4F4F4"/>
            <w:vAlign w:val="center"/>
          </w:tcPr>
          <w:p w14:paraId="4D328DD0"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Repository y Service consultan SAP B1 Service Layer sin que las pantallas conozcan la fuente de datos</w:t>
            </w:r>
          </w:p>
        </w:tc>
        <w:tc>
          <w:tcPr>
            <w:tcW w:w="3108" w:type="dxa"/>
            <w:shd w:val="clear" w:color="auto" w:fill="F4F4F4"/>
            <w:vAlign w:val="center"/>
          </w:tcPr>
          <w:p w14:paraId="2777345D"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Documento de Arquitectura y código fuente</w:t>
            </w:r>
          </w:p>
        </w:tc>
      </w:tr>
      <w:tr w:rsidR="00374E60" w:rsidRPr="003B726F" w14:paraId="7DDAAAAD" w14:textId="77777777">
        <w:trPr>
          <w:cantSplit/>
          <w:jc w:val="center"/>
        </w:trPr>
        <w:tc>
          <w:tcPr>
            <w:tcW w:w="2258" w:type="dxa"/>
            <w:shd w:val="clear" w:color="auto" w:fill="FFFFFF"/>
            <w:vAlign w:val="center"/>
          </w:tcPr>
          <w:p w14:paraId="2EB38033"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Listar las órdenes asignadas (OE3)</w:t>
            </w:r>
          </w:p>
        </w:tc>
        <w:tc>
          <w:tcPr>
            <w:tcW w:w="4281" w:type="dxa"/>
            <w:shd w:val="clear" w:color="auto" w:fill="FFFFFF"/>
            <w:vAlign w:val="center"/>
          </w:tcPr>
          <w:p w14:paraId="3749FE5E"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Dashboard con las órdenes de mantención del técnico autenticado y acceso al detalle de cada una</w:t>
            </w:r>
          </w:p>
        </w:tc>
        <w:tc>
          <w:tcPr>
            <w:tcW w:w="3108" w:type="dxa"/>
            <w:shd w:val="clear" w:color="auto" w:fill="FFFFFF"/>
            <w:vAlign w:val="center"/>
          </w:tcPr>
          <w:p w14:paraId="2CB02DD2"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Aplicación funcional y pruebas de consulta</w:t>
            </w:r>
          </w:p>
        </w:tc>
      </w:tr>
      <w:tr w:rsidR="00374E60" w:rsidRPr="00CF36BC" w14:paraId="3F8F3F6D" w14:textId="77777777">
        <w:trPr>
          <w:cantSplit/>
          <w:jc w:val="center"/>
        </w:trPr>
        <w:tc>
          <w:tcPr>
            <w:tcW w:w="2258" w:type="dxa"/>
            <w:shd w:val="clear" w:color="auto" w:fill="F4F4F4"/>
            <w:vAlign w:val="center"/>
          </w:tcPr>
          <w:p w14:paraId="48D2A370"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Restringir el acceso por técnico (OE4)</w:t>
            </w:r>
          </w:p>
        </w:tc>
        <w:tc>
          <w:tcPr>
            <w:tcW w:w="4281" w:type="dxa"/>
            <w:shd w:val="clear" w:color="auto" w:fill="F4F4F4"/>
            <w:vAlign w:val="center"/>
          </w:tcPr>
          <w:p w14:paraId="53D4CB70"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Cada técnico visualiza solo las órdenes que le corresponden</w:t>
            </w:r>
          </w:p>
        </w:tc>
        <w:tc>
          <w:tcPr>
            <w:tcW w:w="3108" w:type="dxa"/>
            <w:shd w:val="clear" w:color="auto" w:fill="F4F4F4"/>
            <w:vAlign w:val="center"/>
          </w:tcPr>
          <w:p w14:paraId="258D7A0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Pruebas de acceso a órdenes ajenas</w:t>
            </w:r>
          </w:p>
        </w:tc>
      </w:tr>
      <w:tr w:rsidR="00374E60" w:rsidRPr="003B726F" w14:paraId="0042B957" w14:textId="77777777">
        <w:trPr>
          <w:cantSplit/>
          <w:jc w:val="center"/>
        </w:trPr>
        <w:tc>
          <w:tcPr>
            <w:tcW w:w="2258" w:type="dxa"/>
            <w:shd w:val="clear" w:color="auto" w:fill="FFFFFF"/>
            <w:vAlign w:val="center"/>
          </w:tcPr>
          <w:p w14:paraId="75810D1D"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Documentar y validar (OE5)</w:t>
            </w:r>
          </w:p>
        </w:tc>
        <w:tc>
          <w:tcPr>
            <w:tcW w:w="4281" w:type="dxa"/>
            <w:shd w:val="clear" w:color="auto" w:fill="FFFFFF"/>
            <w:vAlign w:val="center"/>
          </w:tcPr>
          <w:p w14:paraId="72E10D8A"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Requerimientos, arquitectura y evidencia en el repositorio de GitHub con README, pruebas automatizadas y pruebas funcionales definidas</w:t>
            </w:r>
          </w:p>
        </w:tc>
        <w:tc>
          <w:tcPr>
            <w:tcW w:w="3108" w:type="dxa"/>
            <w:shd w:val="clear" w:color="auto" w:fill="FFFFFF"/>
            <w:vAlign w:val="center"/>
          </w:tcPr>
          <w:p w14:paraId="3ED158A6"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Repositorio de GitHub, flujo de integración continua y registro de pruebas</w:t>
            </w:r>
          </w:p>
        </w:tc>
      </w:tr>
    </w:tbl>
    <w:p w14:paraId="231577F1" w14:textId="77777777" w:rsidR="00374E60" w:rsidRPr="00CF36BC" w:rsidRDefault="00374E60" w:rsidP="003B726F">
      <w:pPr>
        <w:spacing w:after="20" w:line="360" w:lineRule="auto"/>
        <w:jc w:val="both"/>
        <w:rPr>
          <w:rFonts w:ascii="Arial" w:hAnsi="Arial" w:cs="Arial"/>
          <w:lang w:val="es-CL"/>
        </w:rPr>
      </w:pPr>
    </w:p>
    <w:p w14:paraId="1ACCFAB3"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reducción de tiempos muertos y de errores de coordinación es un beneficio esperado del proyecto y sus indicadores están definidos en la sección 9. La validación de los objetivos se apoya en las pruebas automatizadas y en las pruebas funcionales de los flujos críticos.</w:t>
      </w:r>
    </w:p>
    <w:p w14:paraId="44BA726E" w14:textId="77777777" w:rsidR="00374E60" w:rsidRPr="00CF36BC" w:rsidRDefault="00000000" w:rsidP="003B726F">
      <w:pPr>
        <w:pStyle w:val="Ttulo1"/>
        <w:spacing w:line="360" w:lineRule="auto"/>
        <w:jc w:val="both"/>
        <w:rPr>
          <w:rFonts w:ascii="Arial" w:hAnsi="Arial" w:cs="Arial"/>
          <w:lang w:val="es-CL"/>
        </w:rPr>
      </w:pPr>
      <w:bookmarkStart w:id="6" w:name="_Toc242035816"/>
      <w:r>
        <w:rPr>
          <w:rFonts w:ascii="Arial" w:hAnsi="Arial" w:cs="Arial"/>
          <w:lang w:val="es-CL"/>
        </w:rPr>
        <w:t>6 Interesados y responsabilidades</w:t>
      </w:r>
      <w:bookmarkEnd w:id="6"/>
    </w:p>
    <w:p w14:paraId="3FC4C02D"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 xml:space="preserve">Kevin Peredo Montecino actúa como responsable de análisis y aseguramiento de calidad: levanta y documenta los requerimientos funcionales y no funcionales y los casos de uso, diseña las pruebas </w:t>
      </w:r>
      <w:r>
        <w:rPr>
          <w:rFonts w:ascii="Arial" w:hAnsi="Arial" w:cs="Arial"/>
          <w:lang w:val="es-CL"/>
        </w:rPr>
        <w:lastRenderedPageBreak/>
        <w:t>funcionales y revisa la calidad de la documentación y el cumplimiento del alcance. Ian Ampuero actúa como responsable de desarrollo y arquitectura: diseña la arquitectura en capas, implementa la aplicación en Flutter y Dart, integra la aplicación con SAP Business One y configura el repositorio y el entorno de desarrollo.</w:t>
      </w:r>
    </w:p>
    <w:p w14:paraId="7A0D4C7F"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La docente Marcela Alejandra González Quezada evalúa la evidencia académica. Los técnicos de Alo Group son los usuarios finales que consultan sus órdenes y registran su avance, los supervisores y el área de operaciones se benefician de la trazabilidad, y Alo Group aporta el sistema SAP Business One y el contexto real del proyecto.</w:t>
      </w:r>
    </w:p>
    <w:p w14:paraId="6B3C8F48" w14:textId="77777777" w:rsidR="00374E60" w:rsidRPr="00CF36BC" w:rsidRDefault="00000000" w:rsidP="003B726F">
      <w:pPr>
        <w:pStyle w:val="Ttulo1"/>
        <w:spacing w:line="360" w:lineRule="auto"/>
        <w:jc w:val="both"/>
        <w:rPr>
          <w:rFonts w:ascii="Arial" w:hAnsi="Arial" w:cs="Arial"/>
          <w:lang w:val="es-CL"/>
        </w:rPr>
      </w:pPr>
      <w:bookmarkStart w:id="7" w:name="_Toc242035817"/>
      <w:r>
        <w:rPr>
          <w:rFonts w:ascii="Arial" w:hAnsi="Arial" w:cs="Arial"/>
          <w:lang w:val="es-CL"/>
        </w:rPr>
        <w:t>7 Alcance y restricciones</w:t>
      </w:r>
      <w:bookmarkEnd w:id="7"/>
    </w:p>
    <w:p w14:paraId="0D51B3C5"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alcance describe lo que la aplicación hace al corte de este documento. Incluye la identificación del técnico con su correo corporativo contra SAP Business One, la restauración segura de su sesión, el dashboard de órdenes de mantención con búsqueda y filtros por estado, el detalle de cada orden con sus tareas y materiales, el registro del avance de la actividad (en camino, en área y finalizada), que se guarda en el dispositivo, la ubicación de la obra o el taller con apertura de la navegación en Google Maps, la sección de ejecución con las actividades iniciadas y las llamadas de servicio del técnico, y el perfil con el cierre de sesión.</w:t>
      </w:r>
    </w:p>
    <w:p w14:paraId="126A54B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alcance se concentra en los flujos del técnico. La firma digital y el panel administrativo se encuentran en una etapa inicial de diseño y no forman parte de la funcionalidad comprometida, y el modo offline completo, las evidencias fotográficas y las notificaciones se proyectan como evolución futura. Quedan fuera de alcance los módulos de facturación, inventario o gestión financiera y la aplicación para iOS, ya que la plataforma objetivo es Android.</w:t>
      </w:r>
    </w:p>
    <w:p w14:paraId="144113FA"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Los supuestos son que SAP Business One está disponible, que contiene técnicos y órdenes, y que existe una cuenta de servicio autorizada para consultar el Service Layer. Las restricciones incluyen el tiempo del semestre académico, la dependencia de un proxy local de desarrollo para ejecutar la aplicación contra SAP, y que las escrituras hacia SAP se controlan mediante una configuración explícita. El Informe de Fase 1 planifica el trabajo en 16 semanas (S1 a S16).</w:t>
      </w:r>
    </w:p>
    <w:p w14:paraId="1FA81E56" w14:textId="77777777" w:rsidR="00374E60" w:rsidRPr="00CF36BC" w:rsidRDefault="00000000" w:rsidP="003B726F">
      <w:pPr>
        <w:pStyle w:val="Ttulo1"/>
        <w:spacing w:line="360" w:lineRule="auto"/>
        <w:jc w:val="both"/>
        <w:rPr>
          <w:rFonts w:ascii="Arial" w:hAnsi="Arial" w:cs="Arial"/>
          <w:lang w:val="es-CL"/>
        </w:rPr>
      </w:pPr>
      <w:bookmarkStart w:id="8" w:name="_Toc242035818"/>
      <w:r>
        <w:rPr>
          <w:rFonts w:ascii="Arial" w:hAnsi="Arial" w:cs="Arial"/>
          <w:lang w:val="es-CL"/>
        </w:rPr>
        <w:lastRenderedPageBreak/>
        <w:t>8 Gestión de riesgos</w:t>
      </w:r>
      <w:bookmarkEnd w:id="8"/>
    </w:p>
    <w:tbl>
      <w:tblPr>
        <w:tblStyle w:val="a0"/>
        <w:tblW w:w="9649"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300"/>
        <w:gridCol w:w="2783"/>
        <w:gridCol w:w="4566"/>
      </w:tblGrid>
      <w:tr w:rsidR="00374E60" w:rsidRPr="00CF36BC" w14:paraId="3D1CA01C" w14:textId="77777777">
        <w:trPr>
          <w:cantSplit/>
          <w:tblHeader/>
          <w:jc w:val="center"/>
        </w:trPr>
        <w:tc>
          <w:tcPr>
            <w:tcW w:w="2300" w:type="dxa"/>
            <w:shd w:val="clear" w:color="auto" w:fill="404040"/>
            <w:vAlign w:val="center"/>
          </w:tcPr>
          <w:p w14:paraId="23440FC3"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Riesgo</w:t>
            </w:r>
          </w:p>
        </w:tc>
        <w:tc>
          <w:tcPr>
            <w:tcW w:w="2783" w:type="dxa"/>
            <w:shd w:val="clear" w:color="auto" w:fill="404040"/>
            <w:vAlign w:val="center"/>
          </w:tcPr>
          <w:p w14:paraId="051D7580"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Efecto</w:t>
            </w:r>
          </w:p>
        </w:tc>
        <w:tc>
          <w:tcPr>
            <w:tcW w:w="4566" w:type="dxa"/>
            <w:shd w:val="clear" w:color="auto" w:fill="404040"/>
            <w:vAlign w:val="center"/>
          </w:tcPr>
          <w:p w14:paraId="563151D1" w14:textId="77777777" w:rsidR="00374E60" w:rsidRPr="00CF36BC" w:rsidRDefault="00000000" w:rsidP="003B726F">
            <w:pPr>
              <w:spacing w:after="0" w:line="360" w:lineRule="auto"/>
              <w:jc w:val="both"/>
              <w:rPr>
                <w:rFonts w:ascii="Arial" w:hAnsi="Arial" w:cs="Arial"/>
              </w:rPr>
            </w:pPr>
            <w:r>
              <w:rPr>
                <w:rFonts w:ascii="Arial" w:hAnsi="Arial" w:cs="Arial"/>
                <w:b/>
                <w:bCs/>
                <w:color w:val="FFFFFF"/>
                <w:sz w:val="19"/>
                <w:szCs w:val="19"/>
              </w:rPr>
              <w:t>Tratamiento propuesto</w:t>
            </w:r>
          </w:p>
        </w:tc>
      </w:tr>
      <w:tr w:rsidR="00374E60" w:rsidRPr="003B726F" w14:paraId="6A365506" w14:textId="77777777">
        <w:trPr>
          <w:cantSplit/>
          <w:jc w:val="center"/>
        </w:trPr>
        <w:tc>
          <w:tcPr>
            <w:tcW w:w="2300" w:type="dxa"/>
            <w:shd w:val="clear" w:color="auto" w:fill="FFFFFF"/>
            <w:vAlign w:val="center"/>
          </w:tcPr>
          <w:p w14:paraId="0E371C34"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Indisponibilidad de SAP o del proxy</w:t>
            </w:r>
          </w:p>
        </w:tc>
        <w:tc>
          <w:tcPr>
            <w:tcW w:w="2783" w:type="dxa"/>
            <w:shd w:val="clear" w:color="auto" w:fill="FFFFFF"/>
            <w:vAlign w:val="center"/>
          </w:tcPr>
          <w:p w14:paraId="7341BC0C"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El técnico no puede consultar sus órdenes</w:t>
            </w:r>
          </w:p>
        </w:tc>
        <w:tc>
          <w:tcPr>
            <w:tcW w:w="4566" w:type="dxa"/>
            <w:shd w:val="clear" w:color="auto" w:fill="FFFFFF"/>
            <w:vAlign w:val="center"/>
          </w:tcPr>
          <w:p w14:paraId="3BD80B4D"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Reintentos con espera, renovación de sesión, mensajes con opción de reintentar y datos de prueba en desarrollo</w:t>
            </w:r>
          </w:p>
        </w:tc>
      </w:tr>
      <w:tr w:rsidR="00374E60" w:rsidRPr="003B726F" w14:paraId="36E1DE9E" w14:textId="77777777">
        <w:trPr>
          <w:cantSplit/>
          <w:jc w:val="center"/>
        </w:trPr>
        <w:tc>
          <w:tcPr>
            <w:tcW w:w="2300" w:type="dxa"/>
            <w:shd w:val="clear" w:color="auto" w:fill="F4F4F4"/>
            <w:vAlign w:val="center"/>
          </w:tcPr>
          <w:p w14:paraId="4168AF0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Restricciones de acceso a los datos</w:t>
            </w:r>
          </w:p>
        </w:tc>
        <w:tc>
          <w:tcPr>
            <w:tcW w:w="2783" w:type="dxa"/>
            <w:shd w:val="clear" w:color="auto" w:fill="F4F4F4"/>
            <w:vAlign w:val="center"/>
          </w:tcPr>
          <w:p w14:paraId="680F964D"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No se puede consultar la fuente de datos de Alo Group</w:t>
            </w:r>
          </w:p>
        </w:tc>
        <w:tc>
          <w:tcPr>
            <w:tcW w:w="4566" w:type="dxa"/>
            <w:shd w:val="clear" w:color="auto" w:fill="F4F4F4"/>
            <w:vAlign w:val="center"/>
          </w:tcPr>
          <w:p w14:paraId="3906045B"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Definir tempranamente el mecanismo de consulta autorizado y la cuenta de servicio</w:t>
            </w:r>
          </w:p>
        </w:tc>
      </w:tr>
      <w:tr w:rsidR="00374E60" w:rsidRPr="003B726F" w14:paraId="085263F4" w14:textId="77777777">
        <w:trPr>
          <w:cantSplit/>
          <w:jc w:val="center"/>
        </w:trPr>
        <w:tc>
          <w:tcPr>
            <w:tcW w:w="2300" w:type="dxa"/>
            <w:shd w:val="clear" w:color="auto" w:fill="FFFFFF"/>
            <w:vAlign w:val="center"/>
          </w:tcPr>
          <w:p w14:paraId="0FA08BC8"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Escrituras no deseadas sobre SAP</w:t>
            </w:r>
          </w:p>
        </w:tc>
        <w:tc>
          <w:tcPr>
            <w:tcW w:w="2783" w:type="dxa"/>
            <w:shd w:val="clear" w:color="auto" w:fill="FFFFFF"/>
            <w:vAlign w:val="center"/>
          </w:tcPr>
          <w:p w14:paraId="1D1F3686"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Se modifican órdenes reales durante las pruebas</w:t>
            </w:r>
          </w:p>
        </w:tc>
        <w:tc>
          <w:tcPr>
            <w:tcW w:w="4566" w:type="dxa"/>
            <w:shd w:val="clear" w:color="auto" w:fill="FFFFFF"/>
            <w:vAlign w:val="center"/>
          </w:tcPr>
          <w:p w14:paraId="517B755D"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Escritura controlada por configuración y limitada a una lista de objetos permitidos</w:t>
            </w:r>
          </w:p>
        </w:tc>
      </w:tr>
      <w:tr w:rsidR="00374E60" w:rsidRPr="003B726F" w14:paraId="6BE5F60A" w14:textId="77777777">
        <w:trPr>
          <w:cantSplit/>
          <w:jc w:val="center"/>
        </w:trPr>
        <w:tc>
          <w:tcPr>
            <w:tcW w:w="2300" w:type="dxa"/>
            <w:shd w:val="clear" w:color="auto" w:fill="F4F4F4"/>
            <w:vAlign w:val="center"/>
          </w:tcPr>
          <w:p w14:paraId="5BD14215"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Protección de credenciales de servicio</w:t>
            </w:r>
          </w:p>
        </w:tc>
        <w:tc>
          <w:tcPr>
            <w:tcW w:w="2783" w:type="dxa"/>
            <w:shd w:val="clear" w:color="auto" w:fill="F4F4F4"/>
            <w:vAlign w:val="center"/>
          </w:tcPr>
          <w:p w14:paraId="05E1138C"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Acceso indebido a SAP</w:t>
            </w:r>
          </w:p>
        </w:tc>
        <w:tc>
          <w:tcPr>
            <w:tcW w:w="4566" w:type="dxa"/>
            <w:shd w:val="clear" w:color="auto" w:fill="F4F4F4"/>
            <w:vAlign w:val="center"/>
          </w:tcPr>
          <w:p w14:paraId="26B79543"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Mantener los archivos de entorno fuera del repositorio y usar plantillas sin valores reales</w:t>
            </w:r>
          </w:p>
        </w:tc>
      </w:tr>
      <w:tr w:rsidR="00374E60" w:rsidRPr="003B726F" w14:paraId="150CFA97" w14:textId="77777777">
        <w:trPr>
          <w:cantSplit/>
          <w:jc w:val="center"/>
        </w:trPr>
        <w:tc>
          <w:tcPr>
            <w:tcW w:w="2300" w:type="dxa"/>
            <w:shd w:val="clear" w:color="auto" w:fill="FFFFFF"/>
            <w:vAlign w:val="center"/>
          </w:tcPr>
          <w:p w14:paraId="701CE181"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Ampliación excesiva del alcance</w:t>
            </w:r>
          </w:p>
        </w:tc>
        <w:tc>
          <w:tcPr>
            <w:tcW w:w="2783" w:type="dxa"/>
            <w:shd w:val="clear" w:color="auto" w:fill="FFFFFF"/>
            <w:vAlign w:val="center"/>
          </w:tcPr>
          <w:p w14:paraId="1F040614" w14:textId="77777777" w:rsidR="00374E60" w:rsidRPr="00CF36BC" w:rsidRDefault="00000000" w:rsidP="003B726F">
            <w:pPr>
              <w:spacing w:after="0" w:line="360" w:lineRule="auto"/>
              <w:jc w:val="both"/>
              <w:rPr>
                <w:rFonts w:ascii="Arial" w:hAnsi="Arial" w:cs="Arial"/>
              </w:rPr>
            </w:pPr>
            <w:r>
              <w:rPr>
                <w:rFonts w:ascii="Arial" w:hAnsi="Arial" w:cs="Arial"/>
                <w:color w:val="000000"/>
                <w:sz w:val="19"/>
                <w:szCs w:val="19"/>
              </w:rPr>
              <w:t>No se completa una solución funcional y comprobable en el semestre</w:t>
            </w:r>
          </w:p>
        </w:tc>
        <w:tc>
          <w:tcPr>
            <w:tcW w:w="4566" w:type="dxa"/>
            <w:shd w:val="clear" w:color="auto" w:fill="FFFFFF"/>
            <w:vAlign w:val="center"/>
          </w:tcPr>
          <w:p w14:paraId="7869FC9D" w14:textId="77777777" w:rsidR="00374E60" w:rsidRPr="00CF36BC" w:rsidRDefault="00000000" w:rsidP="003B726F">
            <w:pPr>
              <w:spacing w:after="0" w:line="360" w:lineRule="auto"/>
              <w:jc w:val="both"/>
              <w:rPr>
                <w:rFonts w:ascii="Arial" w:hAnsi="Arial" w:cs="Arial"/>
                <w:lang w:val="es-CL"/>
              </w:rPr>
            </w:pPr>
            <w:r>
              <w:rPr>
                <w:rFonts w:ascii="Arial" w:hAnsi="Arial" w:cs="Arial"/>
                <w:color w:val="000000"/>
                <w:sz w:val="19"/>
                <w:szCs w:val="19"/>
                <w:lang w:val="es-CL"/>
              </w:rPr>
              <w:t>Priorizar el alcance mínimo viable y planificar los módulos adicionales como evolución</w:t>
            </w:r>
          </w:p>
        </w:tc>
      </w:tr>
    </w:tbl>
    <w:p w14:paraId="2DF62788" w14:textId="77777777" w:rsidR="00374E60" w:rsidRPr="00CF36BC" w:rsidRDefault="00374E60" w:rsidP="003B726F">
      <w:pPr>
        <w:spacing w:after="20" w:line="360" w:lineRule="auto"/>
        <w:jc w:val="both"/>
        <w:rPr>
          <w:rFonts w:ascii="Arial" w:hAnsi="Arial" w:cs="Arial"/>
          <w:lang w:val="es-CL"/>
        </w:rPr>
      </w:pPr>
    </w:p>
    <w:p w14:paraId="57575A7B"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Estos riesgos se gestionan con mayor detalle en la Matriz de Riesgos de la documentación de Fase 1.</w:t>
      </w:r>
    </w:p>
    <w:p w14:paraId="4D3704DD" w14:textId="77777777" w:rsidR="00374E60" w:rsidRPr="00CF36BC" w:rsidRDefault="00000000" w:rsidP="003B726F">
      <w:pPr>
        <w:pStyle w:val="Ttulo1"/>
        <w:spacing w:line="360" w:lineRule="auto"/>
        <w:jc w:val="both"/>
        <w:rPr>
          <w:rFonts w:ascii="Arial" w:hAnsi="Arial" w:cs="Arial"/>
          <w:lang w:val="es-CL"/>
        </w:rPr>
      </w:pPr>
      <w:bookmarkStart w:id="9" w:name="_Toc242035819"/>
      <w:r>
        <w:rPr>
          <w:rFonts w:ascii="Arial" w:hAnsi="Arial" w:cs="Arial"/>
          <w:lang w:val="es-CL"/>
        </w:rPr>
        <w:t>9 Criterios de éxito y gobernanza</w:t>
      </w:r>
      <w:bookmarkEnd w:id="9"/>
    </w:p>
    <w:p w14:paraId="52C26681"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proyecto se considerará exitoso cuando se cumplan los indicadores definidos en la Ficha de Proyecto: un tiempo de consulta de órdenes en terreno menor a 5 segundos, más del 98% de las órdenes visualizadas sin error y más del 95% de los accesos exitosos sin incidencias. Además, las pruebas deben demostrar el acceso del técnico, la consulta de sus órdenes y la restricción de acceso a órdenes ajenas. El repositorio cuenta con 23 pruebas unitarias y un flujo de integración continua en GitHub que ejecuta el análisis estático y las pruebas en cada push a la rama principal y en cada pull request.</w:t>
      </w:r>
    </w:p>
    <w:p w14:paraId="06E34300"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El proyecto se desarrolla bajo una metodología tradicional o en cascada, en etapas secuenciales: definición, autenticación y acceso a datos, dashboard y control de acceso, pruebas funcionales, y consolidación de evidencias. Se incorporan prácticas puntuales de seguimiento: revisión semanal de avance entre los dos integrantes y control de versiones continuo en GitHub, con ramas por funcionalidad y revisión de código antes de integrar a la rama principal. Las pruebas funcionales manuales sobre los flujos críticos se ejecutan antes de dar por cerrada cada etapa.</w:t>
      </w:r>
    </w:p>
    <w:p w14:paraId="578E0C33" w14:textId="77777777" w:rsidR="00374E60" w:rsidRPr="00CF36BC" w:rsidRDefault="00000000" w:rsidP="003B726F">
      <w:pPr>
        <w:pStyle w:val="Ttulo1"/>
        <w:spacing w:line="360" w:lineRule="auto"/>
        <w:jc w:val="both"/>
        <w:rPr>
          <w:rFonts w:ascii="Arial" w:hAnsi="Arial" w:cs="Arial"/>
          <w:lang w:val="es-CL"/>
        </w:rPr>
      </w:pPr>
      <w:bookmarkStart w:id="10" w:name="_Toc242035820"/>
      <w:r>
        <w:rPr>
          <w:rFonts w:ascii="Arial" w:hAnsi="Arial" w:cs="Arial"/>
          <w:lang w:val="es-CL"/>
        </w:rPr>
        <w:lastRenderedPageBreak/>
        <w:t>10 Conclusiones</w:t>
      </w:r>
      <w:bookmarkEnd w:id="10"/>
    </w:p>
    <w:p w14:paraId="7F76D904" w14:textId="77777777" w:rsidR="00374E60" w:rsidRPr="00CF36BC" w:rsidRDefault="00000000" w:rsidP="003B726F">
      <w:pPr>
        <w:spacing w:line="360" w:lineRule="auto"/>
        <w:jc w:val="both"/>
        <w:rPr>
          <w:rFonts w:ascii="Arial" w:hAnsi="Arial" w:cs="Arial"/>
          <w:lang w:val="es-CL"/>
        </w:rPr>
      </w:pPr>
      <w:r>
        <w:rPr>
          <w:rFonts w:ascii="Arial" w:hAnsi="Arial" w:cs="Arial"/>
          <w:lang w:val="es-CL"/>
        </w:rPr>
        <w:t>AloApp presenta un alcance comprobable que aborda una necesidad real de Alo Group: que el técnico en terreno se identifique, consulte las órdenes que le corresponden y registre su avance, con tareas y materiales escritos en SAP Business One y el ciclo de estado guardado en el dispositivo. Su arquitectura en capas y su control de acceso por técnico entregan una base desacoplada que permite crecer sin rehacer la aplicación. El éxito se juzga por los indicadores definidos y por las pruebas registradas como evidencia. Esta definición establece qué se desarrolla, por qué se desarrolla y cuál es su alcance.</w:t>
      </w:r>
    </w:p>
    <w:sectPr w:rsidR="00374E60" w:rsidRPr="00CF36BC">
      <w:headerReference w:type="default" r:id="rId9"/>
      <w:footerReference w:type="default" r:id="rId10"/>
      <w:pgSz w:w="12240" w:h="15840"/>
      <w:pgMar w:top="1195" w:right="1296" w:bottom="1195" w:left="1296" w:header="518" w:footer="51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22A2A" w14:textId="77777777" w:rsidR="00F73B4E" w:rsidRDefault="00F73B4E">
      <w:pPr>
        <w:spacing w:after="0" w:line="240" w:lineRule="auto"/>
      </w:pPr>
      <w:r>
        <w:separator/>
      </w:r>
    </w:p>
  </w:endnote>
  <w:endnote w:type="continuationSeparator" w:id="0">
    <w:p w14:paraId="4CEB51DA" w14:textId="77777777" w:rsidR="00F73B4E" w:rsidRDefault="00F73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7E9E80A7-FF00-4131-8A59-9BFE14D0A06E}"/>
    <w:embedBold r:id="rId2" w:fontKey="{386F403C-3B2D-4F5E-9738-D561A26D32BE}"/>
    <w:embedItalic r:id="rId3" w:fontKey="{5F3B318B-9290-48DC-B3E3-D9CCEE69071C}"/>
    <w:embedBoldItalic r:id="rId4" w:fontKey="{1172911C-EE0C-4436-A278-3937F4448C15}"/>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DejaVu Sans Mono">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35E6AEA-55A6-4565-876E-872833B37C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3F291" w14:textId="77777777" w:rsidR="00374E60"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sz w:val="18"/>
        <w:szCs w:val="18"/>
      </w:rPr>
      <w:t xml:space="preserve">Página </w:t>
    </w:r>
    <w:r>
      <w:rPr>
        <w:color w:val="000000"/>
        <w:sz w:val="18"/>
        <w:szCs w:val="18"/>
      </w:rPr>
      <w:fldChar w:fldCharType="begin"/>
    </w:r>
    <w:r>
      <w:rPr>
        <w:color w:val="000000"/>
        <w:sz w:val="18"/>
        <w:szCs w:val="18"/>
      </w:rPr>
      <w:instrText>PAGE</w:instrText>
    </w:r>
    <w:r>
      <w:rPr>
        <w:color w:val="000000"/>
        <w:sz w:val="18"/>
        <w:szCs w:val="18"/>
      </w:rPr>
      <w:fldChar w:fldCharType="separate"/>
    </w:r>
    <w:r w:rsidR="00846AEE">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AE788" w14:textId="77777777" w:rsidR="00F73B4E" w:rsidRDefault="00F73B4E">
      <w:pPr>
        <w:spacing w:after="0" w:line="240" w:lineRule="auto"/>
      </w:pPr>
      <w:r>
        <w:separator/>
      </w:r>
    </w:p>
  </w:footnote>
  <w:footnote w:type="continuationSeparator" w:id="0">
    <w:p w14:paraId="41694035" w14:textId="77777777" w:rsidR="00F73B4E" w:rsidRDefault="00F73B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5A8CE" w14:textId="7F51E80B" w:rsidR="00374E60" w:rsidRPr="00846AEE" w:rsidRDefault="00000000">
    <w:pPr>
      <w:spacing w:after="0"/>
      <w:rPr>
        <w:lang w:val="es-CL"/>
      </w:rPr>
    </w:pPr>
    <w:r w:rsidRPr="00846AEE">
      <w:rPr>
        <w:color w:val="000000"/>
        <w:sz w:val="16"/>
        <w:szCs w:val="16"/>
        <w:lang w:val="es-CL"/>
      </w:rPr>
      <w:t xml:space="preserve">  </w:t>
    </w:r>
    <w:r w:rsidR="00846AEE">
      <w:rPr>
        <w:noProof/>
      </w:rPr>
      <w:drawing>
        <wp:anchor distT="0" distB="0" distL="114300" distR="114300" simplePos="0" relativeHeight="251658240" behindDoc="1" locked="0" layoutInCell="1" allowOverlap="1" wp14:anchorId="220AA200" wp14:editId="50DAC9F0">
          <wp:simplePos x="0" y="0"/>
          <wp:positionH relativeFrom="column">
            <wp:posOffset>43815</wp:posOffset>
          </wp:positionH>
          <wp:positionV relativeFrom="paragraph">
            <wp:posOffset>4445</wp:posOffset>
          </wp:positionV>
          <wp:extent cx="1996440" cy="428625"/>
          <wp:effectExtent l="0" t="0" r="3810" b="9525"/>
          <wp:wrapTight wrapText="bothSides">
            <wp:wrapPolygon edited="0">
              <wp:start x="19168" y="0"/>
              <wp:lineTo x="0" y="2880"/>
              <wp:lineTo x="0" y="21120"/>
              <wp:lineTo x="206" y="21120"/>
              <wp:lineTo x="21023" y="21120"/>
              <wp:lineTo x="21435" y="19200"/>
              <wp:lineTo x="21435" y="3840"/>
              <wp:lineTo x="20405" y="0"/>
              <wp:lineTo x="19168" y="0"/>
            </wp:wrapPolygon>
          </wp:wrapTight>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3" name="Imagen 3"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anchor>
      </w:drawing>
    </w:r>
    <w:r w:rsidRPr="00846AEE">
      <w:rPr>
        <w:color w:val="000000"/>
        <w:sz w:val="16"/>
        <w:szCs w:val="16"/>
        <w:lang w:val="es-C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97D3E"/>
    <w:multiLevelType w:val="multilevel"/>
    <w:tmpl w:val="0F3264EC"/>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94020452">
    <w:abstractNumId w:val="0"/>
  </w:num>
  <w:num w:numId="2" w16cid:durableId="1876890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52000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49215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21733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319766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E60"/>
    <w:rsid w:val="000D61FE"/>
    <w:rsid w:val="0011585C"/>
    <w:rsid w:val="002A2676"/>
    <w:rsid w:val="00374E60"/>
    <w:rsid w:val="00380F51"/>
    <w:rsid w:val="003B726F"/>
    <w:rsid w:val="007B6387"/>
    <w:rsid w:val="007F26DA"/>
    <w:rsid w:val="00846AEE"/>
    <w:rsid w:val="00A05160"/>
    <w:rsid w:val="00B03ED7"/>
    <w:rsid w:val="00B42507"/>
    <w:rsid w:val="00C31FB7"/>
    <w:rsid w:val="00C56DF5"/>
    <w:rsid w:val="00CF36BC"/>
    <w:rsid w:val="00F10371"/>
    <w:rsid w:val="00F73B4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AB85"/>
  <w15:docId w15:val="{0FCBF40A-E20F-4B5F-AFBD-D4947FCDD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CL" w:bidi="ar-SA"/>
      </w:rPr>
    </w:rPrDefault>
    <w:pPrDefault>
      <w:pPr>
        <w:spacing w:after="140" w:line="27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00"/>
      <w:outlineLvl w:val="0"/>
    </w:pPr>
    <w:rPr>
      <w:b/>
      <w:bCs/>
      <w:color w:val="000000"/>
      <w:sz w:val="30"/>
      <w:szCs w:val="30"/>
    </w:rPr>
  </w:style>
  <w:style w:type="paragraph" w:styleId="Ttulo2">
    <w:name w:val="heading 2"/>
    <w:basedOn w:val="Normal"/>
    <w:next w:val="Normal"/>
    <w:link w:val="Ttulo2Car"/>
    <w:uiPriority w:val="9"/>
    <w:semiHidden/>
    <w:unhideWhenUsed/>
    <w:qFormat/>
    <w:pPr>
      <w:keepNext/>
      <w:keepLines/>
      <w:spacing w:before="200"/>
      <w:outlineLvl w:val="1"/>
    </w:pPr>
    <w:rPr>
      <w:b/>
      <w:bCs/>
      <w:color w:val="000000"/>
      <w:sz w:val="24"/>
      <w:szCs w:val="24"/>
    </w:rPr>
  </w:style>
  <w:style w:type="paragraph" w:styleId="Ttulo3">
    <w:name w:val="heading 3"/>
    <w:basedOn w:val="Normal"/>
    <w:next w:val="Normal"/>
    <w:link w:val="Ttulo3Car"/>
    <w:uiPriority w:val="9"/>
    <w:semiHidden/>
    <w:unhideWhenUsed/>
    <w:qFormat/>
    <w:pPr>
      <w:keepNext/>
      <w:keepLines/>
      <w:spacing w:before="200"/>
      <w:outlineLvl w:val="2"/>
    </w:pPr>
    <w:rPr>
      <w:b/>
      <w:bCs/>
      <w:color w:val="000000"/>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spacing w:before="200" w:line="240" w:lineRule="auto"/>
    </w:pPr>
    <w:rPr>
      <w:b/>
      <w:bCs/>
      <w:color w:val="000000"/>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pPr>
      <w:spacing w:line="240" w:lineRule="auto"/>
    </w:pPr>
    <w:rPr>
      <w:b/>
      <w:bCs/>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648"/>
      </w:tabs>
      <w:spacing w:after="100" w:line="254" w:lineRule="auto"/>
    </w:pPr>
    <w:rPr>
      <w:color w:val="000000"/>
      <w:sz w:val="21"/>
    </w:rPr>
  </w:style>
  <w:style w:type="paragraph" w:customStyle="1" w:styleId="TOC21">
    <w:name w:val="TOC 21"/>
    <w:pPr>
      <w:tabs>
        <w:tab w:val="right" w:leader="dot" w:pos="9648"/>
      </w:tabs>
      <w:spacing w:after="100" w:line="254" w:lineRule="auto"/>
      <w:ind w:left="274"/>
    </w:pPr>
    <w:rPr>
      <w:color w:val="000000"/>
      <w:sz w:val="21"/>
    </w:rPr>
  </w:style>
  <w:style w:type="paragraph" w:customStyle="1" w:styleId="Code">
    <w:name w:val="Code"/>
    <w:pPr>
      <w:spacing w:after="40" w:line="252" w:lineRule="auto"/>
    </w:pPr>
    <w:rPr>
      <w:rFonts w:ascii="DejaVu Sans Mono" w:hAnsi="DejaVu Sans Mono"/>
      <w:sz w:val="17"/>
    </w:rPr>
  </w:style>
  <w:style w:type="paragraph" w:styleId="Subttulo">
    <w:name w:val="Subtitle"/>
    <w:basedOn w:val="Normal"/>
    <w:next w:val="Normal"/>
    <w:link w:val="SubttuloCar"/>
    <w:uiPriority w:val="11"/>
    <w:qFormat/>
    <w:pPr>
      <w:keepNext/>
      <w:spacing w:before="200"/>
    </w:pPr>
    <w:rPr>
      <w:i/>
      <w:iCs/>
      <w:color w:val="000000"/>
      <w:sz w:val="24"/>
      <w:szCs w:val="24"/>
    </w:rPr>
  </w:style>
  <w:style w:type="table" w:customStyle="1" w:styleId="a">
    <w:basedOn w:val="Tablanormal"/>
    <w:tblPr>
      <w:tblStyleRowBandSize w:val="1"/>
      <w:tblStyleColBandSize w:val="1"/>
      <w:tblCellMar>
        <w:top w:w="85" w:type="dxa"/>
        <w:left w:w="100" w:type="dxa"/>
        <w:bottom w:w="85" w:type="dxa"/>
        <w:right w:w="100" w:type="dxa"/>
      </w:tblCellMar>
    </w:tblPr>
  </w:style>
  <w:style w:type="table" w:customStyle="1" w:styleId="a0">
    <w:basedOn w:val="Tablanormal"/>
    <w:tblPr>
      <w:tblStyleRowBandSize w:val="1"/>
      <w:tblStyleColBandSize w:val="1"/>
      <w:tblCellMar>
        <w:top w:w="85" w:type="dxa"/>
        <w:left w:w="100" w:type="dxa"/>
        <w:bottom w:w="85" w:type="dxa"/>
        <w:right w:w="100" w:type="dxa"/>
      </w:tblCellMar>
    </w:tblPr>
  </w:style>
  <w:style w:type="table" w:customStyle="1" w:styleId="a1">
    <w:basedOn w:val="Tablanormal"/>
    <w:tblPr>
      <w:tblStyleRowBandSize w:val="1"/>
      <w:tblStyleColBandSize w:val="1"/>
      <w:tblCellMar>
        <w:top w:w="85" w:type="dxa"/>
        <w:left w:w="100" w:type="dxa"/>
        <w:bottom w:w="85" w:type="dxa"/>
        <w:right w:w="100" w:type="dxa"/>
      </w:tblCellMar>
    </w:tblPr>
  </w:style>
  <w:style w:type="paragraph" w:styleId="TDC1">
    <w:name w:val="toc 1"/>
    <w:basedOn w:val="Normal"/>
    <w:next w:val="Normal"/>
    <w:autoRedefine/>
    <w:uiPriority w:val="39"/>
    <w:unhideWhenUsed/>
    <w:rsid w:val="00846AEE"/>
    <w:pPr>
      <w:spacing w:after="100"/>
    </w:pPr>
  </w:style>
  <w:style w:type="character" w:styleId="Hipervnculo">
    <w:name w:val="Hyperlink"/>
    <w:basedOn w:val="Fuentedeprrafopredeter"/>
    <w:uiPriority w:val="99"/>
    <w:unhideWhenUsed/>
    <w:rsid w:val="00846A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ebj+rJNTj7v51jzYtk/+WrAeQ==">CgMxLjAyD2lkLmxma3hodTl0aXV2ejIPaWQuazd2b2Rib2lxc25yMg9pZC5jazNscmVncW91aHMyD2lkLmJiNnl4N2MxcnZoNDIPaWQuNXM0MHZpemEyZWc0Mg9pZC5jMHNucTFjYThoZGwyD2lkLjl6dGxveHo3ZjIxdDIPaWQuYnVrZXppNWlrdW9uMg9pZC5mZWZva2RlZnQ2azgyD2lkLmcwc3llMmliZDd4aDIPaWQuM2FrcTBrNnFlZHN6Mg9pZC5tczY4d2hreDFrdHM4AHIhMXVBU2pwbDhOeF9kNjU1SXNSUFg1NmFkekxrOWRHaDBq</go:docsCustomData>
</go:gDocsCustomXmlDataStorage>
</file>

<file path=customXml/itemProps1.xml><?xml version="1.0" encoding="utf-8"?>
<ds:datastoreItem xmlns:ds="http://schemas.openxmlformats.org/officeDocument/2006/customXml" ds:itemID="{0EACDE9A-184D-479E-81B2-2F98EF2E38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2091</Words>
  <Characters>11503</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Peredo Montecino e Ian Ampuero</dc:creator>
  <cp:lastModifiedBy>KEVIN . PEREDO MONTECINO</cp:lastModifiedBy>
  <cp:revision>6</cp:revision>
  <dcterms:created xsi:type="dcterms:W3CDTF">2013-12-23T23:15:00Z</dcterms:created>
  <dcterms:modified xsi:type="dcterms:W3CDTF">2026-10-21T19:28:00Z</dcterms:modified>
</cp:coreProperties>
</file>