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F3" w:rsidRDefault="00D46AF3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NAME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Kur Maker Chan</w:t>
      </w:r>
    </w:p>
    <w:p w:rsidR="00D46AF3" w:rsidRDefault="00D46AF3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NATIONALITY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South Sudanese</w:t>
      </w:r>
    </w:p>
    <w:p w:rsidR="00D46AF3" w:rsidRDefault="00D46AF3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INSTITUTION</w:t>
      </w:r>
      <w:r w:rsidR="003C5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(Action for Refugees life) </w:t>
      </w:r>
      <w:r w:rsidR="003C52F9" w:rsidRPr="003C52F9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  <w:t>ARel</w:t>
      </w:r>
    </w:p>
    <w:p w:rsidR="00D46AF3" w:rsidRDefault="00D46AF3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 xml:space="preserve">EMAIL </w:t>
      </w:r>
      <w:r w:rsidR="003C52F9"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AD</w:t>
      </w:r>
      <w:r w:rsidR="003C52F9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D</w:t>
      </w:r>
      <w:r w:rsidR="003C52F9"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RESS: kurmaker9@gmail.com</w:t>
      </w:r>
    </w:p>
    <w:p w:rsidR="00693DE2" w:rsidRDefault="00693DE2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PHONE NUMBER: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+254711626927</w:t>
      </w:r>
    </w:p>
    <w:p w:rsidR="00693DE2" w:rsidRDefault="00693DE2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GENDER</w:t>
      </w:r>
      <w:r w:rsidR="003C52F9">
        <w:rPr>
          <w:rFonts w:ascii="Times New Roman" w:eastAsia="Times New Roman" w:hAnsi="Times New Roman" w:cs="Times New Roman"/>
          <w:b/>
          <w:bCs/>
          <w:sz w:val="27"/>
          <w:szCs w:val="27"/>
        </w:rPr>
        <w:t>: 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ale</w:t>
      </w:r>
    </w:p>
    <w:p w:rsidR="00693DE2" w:rsidRDefault="00693DE2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DE2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</w:rPr>
        <w:t>CURRENT LOCATION: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Kakuma 3 Refugee Camp</w:t>
      </w:r>
    </w:p>
    <w:p w:rsidR="00693DE2" w:rsidRDefault="00693DE2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6EF4" w:rsidRPr="006F6EF4" w:rsidRDefault="006F6EF4" w:rsidP="006F6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EF4">
        <w:rPr>
          <w:rFonts w:ascii="Times New Roman" w:eastAsia="Times New Roman" w:hAnsi="Times New Roman" w:cs="Times New Roman"/>
          <w:b/>
          <w:bCs/>
          <w:sz w:val="27"/>
          <w:szCs w:val="27"/>
        </w:rPr>
        <w:t>Gender Distribution in Kakuma Refugee Camp Scholarship Program</w:t>
      </w:r>
    </w:p>
    <w:p w:rsidR="006F6EF4" w:rsidRDefault="006F6EF4" w:rsidP="006F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F4">
        <w:rPr>
          <w:rFonts w:ascii="Times New Roman" w:eastAsia="Times New Roman" w:hAnsi="Times New Roman" w:cs="Times New Roman"/>
          <w:sz w:val="24"/>
          <w:szCs w:val="24"/>
        </w:rPr>
        <w:t xml:space="preserve">Data from the scholarship program in Kakuma Refugee Camp indicates a gender imbalance among applicants. </w:t>
      </w:r>
      <w:r w:rsidRPr="006F6EF4">
        <w:rPr>
          <w:rFonts w:ascii="Times New Roman" w:eastAsia="Times New Roman" w:hAnsi="Times New Roman" w:cs="Times New Roman"/>
          <w:b/>
          <w:bCs/>
          <w:sz w:val="24"/>
          <w:szCs w:val="24"/>
        </w:rPr>
        <w:t>66.0% (157)</w:t>
      </w:r>
      <w:r w:rsidRPr="006F6EF4">
        <w:rPr>
          <w:rFonts w:ascii="Times New Roman" w:eastAsia="Times New Roman" w:hAnsi="Times New Roman" w:cs="Times New Roman"/>
          <w:sz w:val="24"/>
          <w:szCs w:val="24"/>
        </w:rPr>
        <w:t xml:space="preserve"> of the applicants were male, while only </w:t>
      </w:r>
      <w:r w:rsidRPr="006F6EF4">
        <w:rPr>
          <w:rFonts w:ascii="Times New Roman" w:eastAsia="Times New Roman" w:hAnsi="Times New Roman" w:cs="Times New Roman"/>
          <w:b/>
          <w:bCs/>
          <w:sz w:val="24"/>
          <w:szCs w:val="24"/>
        </w:rPr>
        <w:t>34.0% (81)</w:t>
      </w:r>
      <w:r w:rsidRPr="006F6EF4">
        <w:rPr>
          <w:rFonts w:ascii="Times New Roman" w:eastAsia="Times New Roman" w:hAnsi="Times New Roman" w:cs="Times New Roman"/>
          <w:sz w:val="24"/>
          <w:szCs w:val="24"/>
        </w:rPr>
        <w:t xml:space="preserve"> were female. This highlights the need for strategies to improve female participation in educational opportunities.</w:t>
      </w:r>
    </w:p>
    <w:p w:rsidR="001A227B" w:rsidRPr="006F6EF4" w:rsidRDefault="001A227B" w:rsidP="006F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1E2CD" wp14:editId="30E2075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4A4E" w:rsidRDefault="009C4A4E" w:rsidP="009C4A4E">
      <w:pPr>
        <w:pStyle w:val="Heading3"/>
      </w:pPr>
      <w:r>
        <w:t>Analysis of Individual ID Numbers</w:t>
      </w:r>
    </w:p>
    <w:p w:rsidR="009C4A4E" w:rsidRDefault="009C4A4E" w:rsidP="009C4A4E">
      <w:pPr>
        <w:pStyle w:val="NormalWeb"/>
      </w:pPr>
      <w:r>
        <w:t xml:space="preserve">The data includes </w:t>
      </w:r>
      <w:r>
        <w:rPr>
          <w:rStyle w:val="Strong"/>
        </w:rPr>
        <w:t>238 valid individual ID numbers</w:t>
      </w:r>
      <w:r>
        <w:t xml:space="preserve">, with no missing entries. The mean ID number is </w:t>
      </w:r>
      <w:r>
        <w:rPr>
          <w:rStyle w:val="Strong"/>
        </w:rPr>
        <w:t>9,645,082,815.43</w:t>
      </w:r>
      <w:r>
        <w:t xml:space="preserve">, with a standard deviation of </w:t>
      </w:r>
      <w:r>
        <w:rPr>
          <w:rStyle w:val="Strong"/>
        </w:rPr>
        <w:t>26,324,821,114.17</w:t>
      </w:r>
      <w:r>
        <w:t xml:space="preserve">, indicating </w:t>
      </w:r>
      <w:r>
        <w:lastRenderedPageBreak/>
        <w:t xml:space="preserve">significant variation in the values. Key percentiles are as follows: 25th percentile at </w:t>
      </w:r>
      <w:r>
        <w:rPr>
          <w:rStyle w:val="Strong"/>
        </w:rPr>
        <w:t>10,235,689</w:t>
      </w:r>
      <w:r>
        <w:t xml:space="preserve">, 50th percentile (median) at </w:t>
      </w:r>
      <w:r>
        <w:rPr>
          <w:rStyle w:val="Strong"/>
        </w:rPr>
        <w:t>10,253,689</w:t>
      </w:r>
      <w:r>
        <w:t xml:space="preserve">, and 75th percentile at </w:t>
      </w:r>
      <w:r>
        <w:rPr>
          <w:rStyle w:val="Strong"/>
        </w:rPr>
        <w:t>10,895,623</w:t>
      </w:r>
      <w:r>
        <w:t>.</w:t>
      </w:r>
    </w:p>
    <w:p w:rsidR="00482E69" w:rsidRDefault="00482E69" w:rsidP="00482E69">
      <w:pPr>
        <w:pStyle w:val="Heading3"/>
      </w:pPr>
      <w:r>
        <w:t>Nationality Distribution in Kakuma</w:t>
      </w:r>
    </w:p>
    <w:p w:rsidR="00482E69" w:rsidRDefault="00482E69" w:rsidP="00482E69">
      <w:pPr>
        <w:pStyle w:val="NormalWeb"/>
      </w:pPr>
      <w:r>
        <w:t xml:space="preserve">The nationality breakdown of respondents shows that the largest groups are </w:t>
      </w:r>
      <w:r>
        <w:rPr>
          <w:rStyle w:val="Strong"/>
        </w:rPr>
        <w:t>South Sudanese (27.7%)</w:t>
      </w:r>
      <w:r>
        <w:t xml:space="preserve"> and </w:t>
      </w:r>
      <w:r>
        <w:rPr>
          <w:rStyle w:val="Strong"/>
        </w:rPr>
        <w:t>Sudanese (27.3%)</w:t>
      </w:r>
      <w:r>
        <w:t xml:space="preserve">, followed by </w:t>
      </w:r>
      <w:r>
        <w:rPr>
          <w:rStyle w:val="Strong"/>
        </w:rPr>
        <w:t>Burundian (14.3%)</w:t>
      </w:r>
      <w:r>
        <w:t xml:space="preserve">, </w:t>
      </w:r>
      <w:r>
        <w:rPr>
          <w:rStyle w:val="Strong"/>
        </w:rPr>
        <w:t>Congolese (13.4%)</w:t>
      </w:r>
      <w:r>
        <w:t xml:space="preserve">, </w:t>
      </w:r>
      <w:r>
        <w:rPr>
          <w:rStyle w:val="Strong"/>
        </w:rPr>
        <w:t>Somalian (9.2%)</w:t>
      </w:r>
      <w:r>
        <w:t xml:space="preserve">, and </w:t>
      </w:r>
      <w:r>
        <w:rPr>
          <w:rStyle w:val="Strong"/>
        </w:rPr>
        <w:t>Rwandese (8.0%)</w:t>
      </w:r>
      <w:r>
        <w:t>. This diverse representation reflects the multicultural nature of Kakuma Refugee Camp.</w:t>
      </w:r>
    </w:p>
    <w:p w:rsidR="001A227B" w:rsidRDefault="001A227B" w:rsidP="00482E69">
      <w:pPr>
        <w:pStyle w:val="NormalWeb"/>
      </w:pPr>
      <w:r>
        <w:rPr>
          <w:noProof/>
        </w:rPr>
        <w:drawing>
          <wp:inline distT="0" distB="0" distL="0" distR="0" wp14:anchorId="0127C706" wp14:editId="342384F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7555" w:rsidRDefault="002B7555" w:rsidP="002B7555">
      <w:pPr>
        <w:pStyle w:val="Heading3"/>
      </w:pPr>
      <w:r>
        <w:t>Marital Status Distribution</w:t>
      </w:r>
    </w:p>
    <w:p w:rsidR="002B7555" w:rsidRDefault="002B7555" w:rsidP="002B7555">
      <w:pPr>
        <w:pStyle w:val="NormalWeb"/>
      </w:pPr>
      <w:r>
        <w:t xml:space="preserve">Among respondents, </w:t>
      </w:r>
      <w:r>
        <w:rPr>
          <w:rStyle w:val="Strong"/>
        </w:rPr>
        <w:t>56.7% (135)</w:t>
      </w:r>
      <w:r>
        <w:t xml:space="preserve"> are married, while </w:t>
      </w:r>
      <w:r>
        <w:rPr>
          <w:rStyle w:val="Strong"/>
        </w:rPr>
        <w:t>43.3% (103)</w:t>
      </w:r>
      <w:r>
        <w:t xml:space="preserve"> are single. This indicates a slight majority of married individuals within the surveyed group.</w:t>
      </w:r>
    </w:p>
    <w:p w:rsidR="009247F3" w:rsidRDefault="009247F3" w:rsidP="002B7555">
      <w:pPr>
        <w:pStyle w:val="NormalWeb"/>
      </w:pPr>
      <w:r>
        <w:rPr>
          <w:noProof/>
        </w:rPr>
        <w:lastRenderedPageBreak/>
        <w:drawing>
          <wp:inline distT="0" distB="0" distL="0" distR="0" wp14:anchorId="50CE1E81" wp14:editId="3D4627F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B7555" w:rsidRDefault="002B7555" w:rsidP="002B7555">
      <w:pPr>
        <w:pStyle w:val="Heading3"/>
      </w:pPr>
      <w:r>
        <w:t>Current Location of Respondents</w:t>
      </w:r>
    </w:p>
    <w:p w:rsidR="002B7555" w:rsidRDefault="002B7555" w:rsidP="002B7555">
      <w:pPr>
        <w:pStyle w:val="NormalWeb"/>
      </w:pPr>
      <w:r>
        <w:t xml:space="preserve">The respondents are distributed across the four main zones of Kakuma Refugee Camp. The majority are located in </w:t>
      </w:r>
      <w:r>
        <w:rPr>
          <w:rStyle w:val="Strong"/>
        </w:rPr>
        <w:t>Kakuma 1 (36.6%)</w:t>
      </w:r>
      <w:r>
        <w:t xml:space="preserve"> and </w:t>
      </w:r>
      <w:r>
        <w:rPr>
          <w:rStyle w:val="Strong"/>
        </w:rPr>
        <w:t>Kakuma 3 (34.0%)</w:t>
      </w:r>
      <w:r>
        <w:t xml:space="preserve">, followed by </w:t>
      </w:r>
      <w:r>
        <w:rPr>
          <w:rStyle w:val="Strong"/>
        </w:rPr>
        <w:t>Kakuma 4 (15.1%)</w:t>
      </w:r>
      <w:r>
        <w:t xml:space="preserve"> and </w:t>
      </w:r>
      <w:r>
        <w:rPr>
          <w:rStyle w:val="Strong"/>
        </w:rPr>
        <w:t>Kakuma 2 (14.3%)</w:t>
      </w:r>
      <w:r>
        <w:t>. This distribution highlights the varying population densities across the camp's zones.</w:t>
      </w:r>
    </w:p>
    <w:p w:rsidR="009247F3" w:rsidRDefault="009247F3" w:rsidP="002B7555">
      <w:pPr>
        <w:pStyle w:val="NormalWeb"/>
      </w:pPr>
      <w:r>
        <w:rPr>
          <w:noProof/>
        </w:rPr>
        <w:drawing>
          <wp:inline distT="0" distB="0" distL="0" distR="0" wp14:anchorId="62F3F9BF" wp14:editId="3A320537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B7555" w:rsidRDefault="002B7555" w:rsidP="002B7555">
      <w:pPr>
        <w:pStyle w:val="Heading3"/>
      </w:pPr>
      <w:r>
        <w:t>Preferred Language of Communication</w:t>
      </w:r>
    </w:p>
    <w:p w:rsidR="002B7555" w:rsidRDefault="002B7555" w:rsidP="002B7555">
      <w:pPr>
        <w:pStyle w:val="NormalWeb"/>
      </w:pPr>
      <w:r>
        <w:t xml:space="preserve">The majority of respondents prefer </w:t>
      </w:r>
      <w:r>
        <w:rPr>
          <w:rStyle w:val="Strong"/>
        </w:rPr>
        <w:t>English (86.6%)</w:t>
      </w:r>
      <w:r>
        <w:t xml:space="preserve"> as their primary language of communication. Other preferences include </w:t>
      </w:r>
      <w:r>
        <w:rPr>
          <w:rStyle w:val="Strong"/>
        </w:rPr>
        <w:t>English Swahili Arabic (4.6%)</w:t>
      </w:r>
      <w:r>
        <w:t xml:space="preserve">, </w:t>
      </w:r>
      <w:r>
        <w:rPr>
          <w:rStyle w:val="Strong"/>
        </w:rPr>
        <w:t>English Swahili (3.4%)</w:t>
      </w:r>
      <w:r>
        <w:t xml:space="preserve">, and </w:t>
      </w:r>
      <w:r>
        <w:rPr>
          <w:rStyle w:val="Strong"/>
        </w:rPr>
        <w:t>Swahili (2.1%)</w:t>
      </w:r>
      <w:r>
        <w:t xml:space="preserve">. Minor preferences include </w:t>
      </w:r>
      <w:r>
        <w:rPr>
          <w:rStyle w:val="Strong"/>
        </w:rPr>
        <w:t>Spanish (1.3%)</w:t>
      </w:r>
      <w:r>
        <w:t xml:space="preserve">, </w:t>
      </w:r>
      <w:r>
        <w:rPr>
          <w:rStyle w:val="Strong"/>
        </w:rPr>
        <w:t>French (0.8%)</w:t>
      </w:r>
      <w:r>
        <w:t xml:space="preserve">, and combinations like </w:t>
      </w:r>
      <w:r>
        <w:rPr>
          <w:rStyle w:val="Strong"/>
        </w:rPr>
        <w:t>English Arabic (0.8%)</w:t>
      </w:r>
      <w:r>
        <w:t xml:space="preserve"> and </w:t>
      </w:r>
      <w:r>
        <w:rPr>
          <w:rStyle w:val="Strong"/>
        </w:rPr>
        <w:t>English French (0.4%)</w:t>
      </w:r>
      <w:r>
        <w:t xml:space="preserve">. This data underscores </w:t>
      </w:r>
      <w:r>
        <w:lastRenderedPageBreak/>
        <w:t>the dominance of English as the preferred medium while reflecting some linguistic diversity among respondents.</w:t>
      </w:r>
    </w:p>
    <w:p w:rsidR="006B2F55" w:rsidRDefault="006B2F55" w:rsidP="002B7555">
      <w:pPr>
        <w:pStyle w:val="NormalWeb"/>
      </w:pPr>
      <w:r>
        <w:rPr>
          <w:noProof/>
        </w:rPr>
        <w:drawing>
          <wp:inline distT="0" distB="0" distL="0" distR="0" wp14:anchorId="296D2932" wp14:editId="285EE4D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7555" w:rsidRPr="002B7555" w:rsidRDefault="002B7555" w:rsidP="002B7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555">
        <w:rPr>
          <w:rFonts w:ascii="Times New Roman" w:eastAsia="Times New Roman" w:hAnsi="Times New Roman" w:cs="Times New Roman"/>
          <w:b/>
          <w:bCs/>
          <w:sz w:val="27"/>
          <w:szCs w:val="27"/>
        </w:rPr>
        <w:t>Level of Education</w:t>
      </w:r>
    </w:p>
    <w:p w:rsidR="002B7555" w:rsidRDefault="002B7555" w:rsidP="002B7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The majority of respondents,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96.6% (230)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, have a high school level of education, while a smaller group,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3.4% (8)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>, have attained an undergraduate level. This indicates that most individuals are at the high school education level, with limited representation of higher education among the respondents.</w:t>
      </w:r>
    </w:p>
    <w:p w:rsidR="00CE1088" w:rsidRPr="002B7555" w:rsidRDefault="00CE1088" w:rsidP="002B7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0B476" wp14:editId="20FA24B1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7555" w:rsidRPr="002B7555" w:rsidRDefault="002B7555" w:rsidP="002B7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555">
        <w:rPr>
          <w:rFonts w:ascii="Times New Roman" w:eastAsia="Times New Roman" w:hAnsi="Times New Roman" w:cs="Times New Roman"/>
          <w:b/>
          <w:bCs/>
          <w:sz w:val="27"/>
          <w:szCs w:val="27"/>
        </w:rPr>
        <w:t>Year of Completion</w:t>
      </w:r>
    </w:p>
    <w:p w:rsidR="002B7555" w:rsidRDefault="002B7555" w:rsidP="002B7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5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238 respondents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 provided information on their year of completion, with no missing data. The average year of completion is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2021.67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, with a standard deviation of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2.29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, indicating minimal variation. The 25th percentile is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, the median (50th percentile) is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 xml:space="preserve">, and the 75th percentile is </w:t>
      </w:r>
      <w:r w:rsidRPr="002B7555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  <w:r w:rsidRPr="002B7555">
        <w:rPr>
          <w:rFonts w:ascii="Times New Roman" w:eastAsia="Times New Roman" w:hAnsi="Times New Roman" w:cs="Times New Roman"/>
          <w:sz w:val="24"/>
          <w:szCs w:val="24"/>
        </w:rPr>
        <w:t>, showing that most completions occurred between 2021 and 2023.</w:t>
      </w:r>
    </w:p>
    <w:p w:rsidR="00CE1088" w:rsidRPr="002B7555" w:rsidRDefault="009C6A01" w:rsidP="002B7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81BB1" wp14:editId="20ACE11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7555" w:rsidRPr="002B7555" w:rsidRDefault="002B7555" w:rsidP="002B7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555" w:rsidRPr="002B7555" w:rsidRDefault="002B7555" w:rsidP="002B7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Default="000E47D2" w:rsidP="000E47D2">
      <w:pPr>
        <w:pStyle w:val="Heading3"/>
      </w:pPr>
      <w:r>
        <w:t>Final Grade Distribution</w:t>
      </w:r>
    </w:p>
    <w:p w:rsidR="000E47D2" w:rsidRDefault="000E47D2" w:rsidP="000E47D2">
      <w:pPr>
        <w:pStyle w:val="NormalWeb"/>
      </w:pPr>
      <w:r>
        <w:t xml:space="preserve">The final grades of the respondents were widely varied, with the majority receiving grades in the </w:t>
      </w:r>
      <w:r>
        <w:rPr>
          <w:rStyle w:val="Strong"/>
        </w:rPr>
        <w:t>C range (39.5%)</w:t>
      </w:r>
      <w:r>
        <w:t xml:space="preserve"> and </w:t>
      </w:r>
      <w:r>
        <w:rPr>
          <w:rStyle w:val="Strong"/>
        </w:rPr>
        <w:t>B range (28.2%)</w:t>
      </w:r>
      <w:r>
        <w:t xml:space="preserve">. Other grades reported include </w:t>
      </w:r>
      <w:r>
        <w:rPr>
          <w:rStyle w:val="Strong"/>
        </w:rPr>
        <w:t>A (4.6%)</w:t>
      </w:r>
      <w:r>
        <w:t xml:space="preserve">, </w:t>
      </w:r>
      <w:r>
        <w:rPr>
          <w:rStyle w:val="Strong"/>
        </w:rPr>
        <w:t>A- (1.7%)</w:t>
      </w:r>
      <w:r>
        <w:t xml:space="preserve">, </w:t>
      </w:r>
      <w:r>
        <w:rPr>
          <w:rStyle w:val="Strong"/>
        </w:rPr>
        <w:t>B+ (2.5%)</w:t>
      </w:r>
      <w:r>
        <w:t xml:space="preserve">, </w:t>
      </w:r>
      <w:r>
        <w:rPr>
          <w:rStyle w:val="Strong"/>
        </w:rPr>
        <w:t>B- (2.9%)</w:t>
      </w:r>
      <w:r>
        <w:t xml:space="preserve">, </w:t>
      </w:r>
      <w:r>
        <w:rPr>
          <w:rStyle w:val="Strong"/>
        </w:rPr>
        <w:t>C+ (6.3%)</w:t>
      </w:r>
      <w:r>
        <w:t xml:space="preserve">, </w:t>
      </w:r>
      <w:r>
        <w:rPr>
          <w:rStyle w:val="Strong"/>
        </w:rPr>
        <w:t>C- (1.3%)</w:t>
      </w:r>
      <w:r>
        <w:t xml:space="preserve">, </w:t>
      </w:r>
      <w:r>
        <w:rPr>
          <w:rStyle w:val="Strong"/>
        </w:rPr>
        <w:t>D (11.3%)</w:t>
      </w:r>
      <w:r>
        <w:t xml:space="preserve">, </w:t>
      </w:r>
      <w:r>
        <w:rPr>
          <w:rStyle w:val="Strong"/>
        </w:rPr>
        <w:t>D+ (0.4%)</w:t>
      </w:r>
      <w:r>
        <w:t xml:space="preserve">, and </w:t>
      </w:r>
      <w:r>
        <w:rPr>
          <w:rStyle w:val="Strong"/>
        </w:rPr>
        <w:t>D- (0.8%)</w:t>
      </w:r>
      <w:r>
        <w:t>. This diverse grading distribution indicates a broad spectrum of academic performance among the respondents.</w:t>
      </w:r>
    </w:p>
    <w:p w:rsidR="00002540" w:rsidRDefault="00002540" w:rsidP="000E47D2">
      <w:pPr>
        <w:pStyle w:val="NormalWeb"/>
      </w:pPr>
      <w:r>
        <w:rPr>
          <w:noProof/>
        </w:rPr>
        <w:lastRenderedPageBreak/>
        <w:drawing>
          <wp:inline distT="0" distB="0" distL="0" distR="0" wp14:anchorId="1134D354" wp14:editId="26BAAC71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47D2" w:rsidRPr="000E47D2" w:rsidRDefault="000E47D2" w:rsidP="000E4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7D2">
        <w:rPr>
          <w:rFonts w:ascii="Times New Roman" w:eastAsia="Times New Roman" w:hAnsi="Times New Roman" w:cs="Times New Roman"/>
          <w:b/>
          <w:bCs/>
          <w:sz w:val="27"/>
          <w:szCs w:val="27"/>
        </w:rPr>
        <w:t>School of Completion Distribution</w:t>
      </w:r>
    </w:p>
    <w:p w:rsidR="000E47D2" w:rsidRDefault="000E47D2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The respondents' schools of completion are distributed across several institutions, with the largest group graduating from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Blue State Secondary School (29.4%)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Greenlight Secondary School (23.5%)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. Other notable schools include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Vision Secondary School (17.6%)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Kakuma Refugee Secondary School (15.1%)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Somali Bantu Secondary School (14.3%)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>. This distribution reflects the diversity of educational institutions attended by the respondents.</w:t>
      </w:r>
    </w:p>
    <w:p w:rsidR="00BA1689" w:rsidRPr="000E47D2" w:rsidRDefault="00BA1689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DE65F" wp14:editId="3ECA8B2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E47D2" w:rsidRPr="000E47D2" w:rsidRDefault="000E47D2" w:rsidP="000E4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Pr="000E47D2" w:rsidRDefault="000E47D2" w:rsidP="000E4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7D2">
        <w:rPr>
          <w:rFonts w:ascii="Times New Roman" w:eastAsia="Times New Roman" w:hAnsi="Times New Roman" w:cs="Times New Roman"/>
          <w:b/>
          <w:bCs/>
          <w:sz w:val="27"/>
          <w:szCs w:val="27"/>
        </w:rPr>
        <w:t>Attendance at Vocational or University/College</w:t>
      </w:r>
    </w:p>
    <w:p w:rsidR="000E47D2" w:rsidRDefault="000E47D2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majority of respondents,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88.2% (210)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, have not attended any vocational or university/college, while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11.8% (28)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 have attended such institutions. This indicates a low level of higher education or vocational training among the respondents.</w:t>
      </w:r>
    </w:p>
    <w:p w:rsidR="006A23C1" w:rsidRPr="000E47D2" w:rsidRDefault="006A23C1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D23E2" wp14:editId="2215F8E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E47D2" w:rsidRDefault="000E47D2" w:rsidP="000E4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Default="000E47D2" w:rsidP="000E47D2">
      <w:pPr>
        <w:pStyle w:val="Heading3"/>
      </w:pPr>
      <w:r>
        <w:t>Field of Study or Intended Course/Program</w:t>
      </w:r>
    </w:p>
    <w:p w:rsidR="000E47D2" w:rsidRDefault="000E47D2" w:rsidP="000E47D2">
      <w:pPr>
        <w:pStyle w:val="NormalWeb"/>
      </w:pPr>
      <w:r>
        <w:t xml:space="preserve">The respondents' fields of study or intended courses/programs show a strong interest in </w:t>
      </w:r>
      <w:r>
        <w:rPr>
          <w:rStyle w:val="Strong"/>
        </w:rPr>
        <w:t>Computer Science (46.2%)</w:t>
      </w:r>
      <w:r>
        <w:t xml:space="preserve">, followed by </w:t>
      </w:r>
      <w:r>
        <w:rPr>
          <w:rStyle w:val="Strong"/>
        </w:rPr>
        <w:t>Data Science (16.4%)</w:t>
      </w:r>
      <w:r>
        <w:t xml:space="preserve"> and </w:t>
      </w:r>
      <w:r>
        <w:rPr>
          <w:rStyle w:val="Strong"/>
        </w:rPr>
        <w:t>Business Administration (12.6%)</w:t>
      </w:r>
      <w:r>
        <w:t xml:space="preserve">. Other fields include </w:t>
      </w:r>
      <w:r>
        <w:rPr>
          <w:rStyle w:val="Strong"/>
        </w:rPr>
        <w:t>Health Administration (9.7%)</w:t>
      </w:r>
      <w:r>
        <w:t xml:space="preserve">, </w:t>
      </w:r>
      <w:r>
        <w:rPr>
          <w:rStyle w:val="Strong"/>
        </w:rPr>
        <w:t>Human Resources Management (9.2%)</w:t>
      </w:r>
      <w:r>
        <w:t xml:space="preserve">, and </w:t>
      </w:r>
      <w:r>
        <w:rPr>
          <w:rStyle w:val="Strong"/>
        </w:rPr>
        <w:t>Public Relations (5.0%)</w:t>
      </w:r>
      <w:r>
        <w:t xml:space="preserve">, with small representations in specific areas like </w:t>
      </w:r>
      <w:r>
        <w:rPr>
          <w:rStyle w:val="Strong"/>
        </w:rPr>
        <w:t>Human Resources Management (0.4%)</w:t>
      </w:r>
      <w:r>
        <w:t xml:space="preserve"> and </w:t>
      </w:r>
      <w:r>
        <w:rPr>
          <w:rStyle w:val="Strong"/>
        </w:rPr>
        <w:t>Health Administration (0.4%)</w:t>
      </w:r>
      <w:r>
        <w:t>. This highlights a preference for technology and business-related programs.</w:t>
      </w:r>
    </w:p>
    <w:p w:rsidR="006A23C1" w:rsidRDefault="006A23C1" w:rsidP="000E47D2">
      <w:pPr>
        <w:pStyle w:val="NormalWeb"/>
      </w:pPr>
      <w:r>
        <w:rPr>
          <w:noProof/>
        </w:rPr>
        <w:lastRenderedPageBreak/>
        <w:drawing>
          <wp:inline distT="0" distB="0" distL="0" distR="0" wp14:anchorId="4BCA3E54" wp14:editId="4BBFC74B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E47D2" w:rsidRPr="000E47D2" w:rsidRDefault="000E47D2" w:rsidP="000E4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7D2">
        <w:rPr>
          <w:rFonts w:ascii="Times New Roman" w:eastAsia="Times New Roman" w:hAnsi="Times New Roman" w:cs="Times New Roman"/>
          <w:b/>
          <w:bCs/>
          <w:sz w:val="27"/>
          <w:szCs w:val="27"/>
        </w:rPr>
        <w:t>Employment or Community Service Involvement</w:t>
      </w:r>
    </w:p>
    <w:p w:rsidR="000E47D2" w:rsidRDefault="000E47D2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A large majority of respondents,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87.0% (207)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, are not currently employed or involved in any community service or volunteer work. In contrast, </w:t>
      </w:r>
      <w:r w:rsidRPr="000E47D2">
        <w:rPr>
          <w:rFonts w:ascii="Times New Roman" w:eastAsia="Times New Roman" w:hAnsi="Times New Roman" w:cs="Times New Roman"/>
          <w:b/>
          <w:bCs/>
          <w:sz w:val="24"/>
          <w:szCs w:val="24"/>
        </w:rPr>
        <w:t>13.0% (31)</w:t>
      </w:r>
      <w:r w:rsidRPr="000E47D2">
        <w:rPr>
          <w:rFonts w:ascii="Times New Roman" w:eastAsia="Times New Roman" w:hAnsi="Times New Roman" w:cs="Times New Roman"/>
          <w:sz w:val="24"/>
          <w:szCs w:val="24"/>
        </w:rPr>
        <w:t xml:space="preserve"> are engaged in such activities, indicating limited participation in employment or volunteer efforts within the surveyed group.</w:t>
      </w:r>
    </w:p>
    <w:p w:rsidR="006A23C1" w:rsidRPr="000E47D2" w:rsidRDefault="00703A1D" w:rsidP="000E4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A84CC" wp14:editId="1A15F3D4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47D2" w:rsidRDefault="000E47D2" w:rsidP="000E4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Default="000E47D2" w:rsidP="000E47D2">
      <w:pPr>
        <w:pStyle w:val="Heading3"/>
      </w:pPr>
      <w:r>
        <w:t>Employment Details of Respondents</w:t>
      </w:r>
    </w:p>
    <w:p w:rsidR="000E47D2" w:rsidRDefault="000E47D2" w:rsidP="000E47D2">
      <w:pPr>
        <w:pStyle w:val="NormalWeb"/>
      </w:pPr>
      <w:r>
        <w:t xml:space="preserve">Among the respondents engaged in employment or community service, various roles were reported. The most common job titles include </w:t>
      </w:r>
      <w:r>
        <w:rPr>
          <w:rStyle w:val="Strong"/>
        </w:rPr>
        <w:t>Teacher (5.9%)</w:t>
      </w:r>
      <w:r>
        <w:t xml:space="preserve"> and </w:t>
      </w:r>
      <w:r>
        <w:rPr>
          <w:rStyle w:val="Strong"/>
        </w:rPr>
        <w:t>Sport Analyst (2.1%)</w:t>
      </w:r>
      <w:r>
        <w:t xml:space="preserve">. Other positions held by individuals include </w:t>
      </w:r>
      <w:r>
        <w:rPr>
          <w:rStyle w:val="Strong"/>
        </w:rPr>
        <w:t>ICT Facilitator (0.8%)</w:t>
      </w:r>
      <w:r>
        <w:t xml:space="preserve">, </w:t>
      </w:r>
      <w:r>
        <w:rPr>
          <w:rStyle w:val="Strong"/>
        </w:rPr>
        <w:t>Self-employed (0.4%)</w:t>
      </w:r>
      <w:r>
        <w:t xml:space="preserve">, </w:t>
      </w:r>
      <w:r>
        <w:rPr>
          <w:rStyle w:val="Strong"/>
        </w:rPr>
        <w:t xml:space="preserve">Doctor </w:t>
      </w:r>
      <w:r>
        <w:rPr>
          <w:rStyle w:val="Strong"/>
        </w:rPr>
        <w:lastRenderedPageBreak/>
        <w:t>(0.4%)</w:t>
      </w:r>
      <w:r>
        <w:t xml:space="preserve">, </w:t>
      </w:r>
      <w:r>
        <w:rPr>
          <w:rStyle w:val="Strong"/>
        </w:rPr>
        <w:t>Community Librarian (0.4%)</w:t>
      </w:r>
      <w:r>
        <w:t xml:space="preserve">, and roles with organizations such as </w:t>
      </w:r>
      <w:r>
        <w:rPr>
          <w:rStyle w:val="Strong"/>
        </w:rPr>
        <w:t>LWF</w:t>
      </w:r>
      <w:r>
        <w:t xml:space="preserve"> and </w:t>
      </w:r>
      <w:r>
        <w:rPr>
          <w:rStyle w:val="Strong"/>
        </w:rPr>
        <w:t>UNHCR agent (0.4%)</w:t>
      </w:r>
      <w:r>
        <w:t xml:space="preserve">. The remaining </w:t>
      </w:r>
      <w:r>
        <w:rPr>
          <w:rStyle w:val="Strong"/>
        </w:rPr>
        <w:t>87.0%</w:t>
      </w:r>
      <w:r>
        <w:t xml:space="preserve"> of respondents did not specify a job, indicating either no current employment or no involvement in community service.</w:t>
      </w:r>
    </w:p>
    <w:p w:rsidR="00EE6448" w:rsidRDefault="00EE6448" w:rsidP="00EE6448">
      <w:pPr>
        <w:pStyle w:val="Heading3"/>
      </w:pPr>
      <w:r>
        <w:t>Current Financial Situation</w:t>
      </w:r>
    </w:p>
    <w:p w:rsidR="00EE6448" w:rsidRDefault="00EE6448" w:rsidP="00EE6448">
      <w:pPr>
        <w:pStyle w:val="NormalWeb"/>
      </w:pPr>
      <w:r>
        <w:t xml:space="preserve">The majority of respondents, </w:t>
      </w:r>
      <w:r>
        <w:rPr>
          <w:rStyle w:val="Strong"/>
        </w:rPr>
        <w:t>80.7% (192)</w:t>
      </w:r>
      <w:r>
        <w:t xml:space="preserve">, are financially dependent, with a smaller proportion reporting other financial situations: </w:t>
      </w:r>
      <w:r>
        <w:rPr>
          <w:rStyle w:val="Strong"/>
        </w:rPr>
        <w:t>13.0% (31)</w:t>
      </w:r>
      <w:r>
        <w:t xml:space="preserve"> have an income, </w:t>
      </w:r>
      <w:r>
        <w:rPr>
          <w:rStyle w:val="Strong"/>
        </w:rPr>
        <w:t>5.9% (14)</w:t>
      </w:r>
      <w:r>
        <w:t xml:space="preserve"> are part of a household, and </w:t>
      </w:r>
      <w:r>
        <w:rPr>
          <w:rStyle w:val="Strong"/>
        </w:rPr>
        <w:t>0.4% (1)</w:t>
      </w:r>
      <w:r>
        <w:t xml:space="preserve"> identified as a household. This indicates a high level of financial dependency among the respondents.</w:t>
      </w:r>
    </w:p>
    <w:p w:rsidR="001A67BD" w:rsidRDefault="001A67BD" w:rsidP="00EE6448">
      <w:pPr>
        <w:pStyle w:val="NormalWeb"/>
      </w:pPr>
      <w:r>
        <w:rPr>
          <w:noProof/>
        </w:rPr>
        <w:drawing>
          <wp:inline distT="0" distB="0" distL="0" distR="0" wp14:anchorId="39A4EC86" wp14:editId="71164E24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E6448" w:rsidRPr="00EE6448" w:rsidRDefault="00EE6448" w:rsidP="00EE6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448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 of Information Accuracy</w:t>
      </w:r>
    </w:p>
    <w:p w:rsidR="00EE6448" w:rsidRDefault="00EE6448" w:rsidP="00EE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44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EE6448">
        <w:rPr>
          <w:rFonts w:ascii="Times New Roman" w:eastAsia="Times New Roman" w:hAnsi="Times New Roman" w:cs="Times New Roman"/>
          <w:b/>
          <w:bCs/>
          <w:sz w:val="24"/>
          <w:szCs w:val="24"/>
        </w:rPr>
        <w:t>238 respondents (100%)</w:t>
      </w:r>
      <w:r w:rsidRPr="00EE6448">
        <w:rPr>
          <w:rFonts w:ascii="Times New Roman" w:eastAsia="Times New Roman" w:hAnsi="Times New Roman" w:cs="Times New Roman"/>
          <w:sz w:val="24"/>
          <w:szCs w:val="24"/>
        </w:rPr>
        <w:t xml:space="preserve"> have certified that the information provided is accurate, indicating complete trust in the data submitted.</w:t>
      </w:r>
    </w:p>
    <w:p w:rsidR="00EE6448" w:rsidRDefault="00EE6448" w:rsidP="00EE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448" w:rsidRPr="00EE6448" w:rsidRDefault="00EE6448" w:rsidP="00EE6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448">
        <w:rPr>
          <w:rFonts w:ascii="Times New Roman" w:eastAsia="Times New Roman" w:hAnsi="Times New Roman" w:cs="Times New Roman"/>
          <w:b/>
          <w:bCs/>
          <w:sz w:val="27"/>
          <w:szCs w:val="27"/>
        </w:rPr>
        <w:t>Agreement to Scholarship Terms and Conditions</w:t>
      </w:r>
    </w:p>
    <w:p w:rsidR="00EE6448" w:rsidRPr="00EE6448" w:rsidRDefault="00EE6448" w:rsidP="00EE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44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EE6448">
        <w:rPr>
          <w:rFonts w:ascii="Times New Roman" w:eastAsia="Times New Roman" w:hAnsi="Times New Roman" w:cs="Times New Roman"/>
          <w:b/>
          <w:bCs/>
          <w:sz w:val="24"/>
          <w:szCs w:val="24"/>
        </w:rPr>
        <w:t>238 respondents (100%)</w:t>
      </w:r>
      <w:r w:rsidRPr="00EE6448">
        <w:rPr>
          <w:rFonts w:ascii="Times New Roman" w:eastAsia="Times New Roman" w:hAnsi="Times New Roman" w:cs="Times New Roman"/>
          <w:sz w:val="24"/>
          <w:szCs w:val="24"/>
        </w:rPr>
        <w:t xml:space="preserve"> have agreed to the terms and conditions of the scholarship, demonstrating full compliance and understanding of the scholarship requirements.</w:t>
      </w:r>
    </w:p>
    <w:p w:rsidR="00EE6448" w:rsidRPr="00EE6448" w:rsidRDefault="00EE6448" w:rsidP="00EE6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448" w:rsidRPr="00EE6448" w:rsidRDefault="00EE6448" w:rsidP="00EE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Pr="000E47D2" w:rsidRDefault="000E47D2" w:rsidP="000E4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D2" w:rsidRPr="000E47D2" w:rsidRDefault="000E47D2" w:rsidP="000E4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1F8" w:rsidRDefault="00830611"/>
    <w:sectPr w:rsidR="003B1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611" w:rsidRDefault="00830611" w:rsidP="00D46AF3">
      <w:pPr>
        <w:spacing w:after="0" w:line="240" w:lineRule="auto"/>
      </w:pPr>
      <w:r>
        <w:separator/>
      </w:r>
    </w:p>
  </w:endnote>
  <w:endnote w:type="continuationSeparator" w:id="0">
    <w:p w:rsidR="00830611" w:rsidRDefault="00830611" w:rsidP="00D4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611" w:rsidRDefault="00830611" w:rsidP="00D46AF3">
      <w:pPr>
        <w:spacing w:after="0" w:line="240" w:lineRule="auto"/>
      </w:pPr>
      <w:r>
        <w:separator/>
      </w:r>
    </w:p>
  </w:footnote>
  <w:footnote w:type="continuationSeparator" w:id="0">
    <w:p w:rsidR="00830611" w:rsidRDefault="00830611" w:rsidP="00D4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F4"/>
    <w:rsid w:val="00002540"/>
    <w:rsid w:val="000B7A82"/>
    <w:rsid w:val="000E47D2"/>
    <w:rsid w:val="001A227B"/>
    <w:rsid w:val="001A67BD"/>
    <w:rsid w:val="002B7555"/>
    <w:rsid w:val="00317275"/>
    <w:rsid w:val="003C52F9"/>
    <w:rsid w:val="004061BB"/>
    <w:rsid w:val="00482E69"/>
    <w:rsid w:val="00493852"/>
    <w:rsid w:val="006815B8"/>
    <w:rsid w:val="00693DE2"/>
    <w:rsid w:val="006A23C1"/>
    <w:rsid w:val="006B2F55"/>
    <w:rsid w:val="006F6EF4"/>
    <w:rsid w:val="00703A1D"/>
    <w:rsid w:val="008303A2"/>
    <w:rsid w:val="00830611"/>
    <w:rsid w:val="009247F3"/>
    <w:rsid w:val="009C4A4E"/>
    <w:rsid w:val="009C6A01"/>
    <w:rsid w:val="00BA1689"/>
    <w:rsid w:val="00CE1088"/>
    <w:rsid w:val="00D46AF3"/>
    <w:rsid w:val="00EE6448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CE6D-79E9-4623-97E8-59263B4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EF4"/>
    <w:rPr>
      <w:b/>
      <w:bCs/>
    </w:rPr>
  </w:style>
  <w:style w:type="character" w:customStyle="1" w:styleId="overflow-hidden">
    <w:name w:val="overflow-hidden"/>
    <w:basedOn w:val="DefaultParagraphFont"/>
    <w:rsid w:val="002B7555"/>
  </w:style>
  <w:style w:type="paragraph" w:styleId="Header">
    <w:name w:val="header"/>
    <w:basedOn w:val="Normal"/>
    <w:link w:val="HeaderChar"/>
    <w:uiPriority w:val="99"/>
    <w:unhideWhenUsed/>
    <w:rsid w:val="00D4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F3"/>
  </w:style>
  <w:style w:type="paragraph" w:styleId="Footer">
    <w:name w:val="footer"/>
    <w:basedOn w:val="Normal"/>
    <w:link w:val="FooterChar"/>
    <w:uiPriority w:val="99"/>
    <w:unhideWhenUsed/>
    <w:rsid w:val="00D4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5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holarship_Kur%20maker%20chan\Scholarship_Data%20cleaning\SCHOLARSHIP_Data%20clean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</a:t>
            </a:r>
            <a:r>
              <a:rPr lang="en-US" baseline="0"/>
              <a:t> </a:t>
            </a:r>
            <a:r>
              <a:rPr lang="en-US"/>
              <a:t>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81</c:v>
                </c:pt>
                <c:pt idx="1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9A-4E21-8916-13204F4A15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38842639"/>
        <c:axId val="1538841391"/>
      </c:barChart>
      <c:catAx>
        <c:axId val="153884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841391"/>
        <c:crosses val="autoZero"/>
        <c:auto val="1"/>
        <c:lblAlgn val="ctr"/>
        <c:lblOffset val="100"/>
        <c:noMultiLvlLbl val="0"/>
      </c:catAx>
      <c:valAx>
        <c:axId val="15388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84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cleaning.xlsx]Sheet10!PivotTable49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attended any vocational or university/college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Sheet10!$A$4:$A$5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Sheet10!$B$4:$B$5</c:f>
              <c:numCache>
                <c:formatCode>General</c:formatCode>
                <c:ptCount val="2"/>
                <c:pt idx="0">
                  <c:v>210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30-417C-8ED5-615A4881F0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4329679"/>
        <c:axId val="1644349647"/>
      </c:barChart>
      <c:catAx>
        <c:axId val="1644329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Attended</a:t>
                </a:r>
                <a:r>
                  <a:rPr lang="en-US" baseline="0"/>
                  <a:t> or not attended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49647"/>
        <c:crosses val="autoZero"/>
        <c:auto val="1"/>
        <c:lblAlgn val="ctr"/>
        <c:lblOffset val="100"/>
        <c:noMultiLvlLbl val="0"/>
      </c:catAx>
      <c:valAx>
        <c:axId val="164434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2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cleaning.xlsx]Sheet11!PivotTable54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field of study or intended course/program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Sheet11!$A$4:$A$12</c:f>
              <c:strCache>
                <c:ptCount val="9"/>
                <c:pt idx="0">
                  <c:v> Health Administration</c:v>
                </c:pt>
                <c:pt idx="1">
                  <c:v> Human Resources Management</c:v>
                </c:pt>
                <c:pt idx="2">
                  <c:v>Business Administration</c:v>
                </c:pt>
                <c:pt idx="3">
                  <c:v>Computer science</c:v>
                </c:pt>
                <c:pt idx="4">
                  <c:v>Computer science </c:v>
                </c:pt>
                <c:pt idx="5">
                  <c:v>Data Science</c:v>
                </c:pt>
                <c:pt idx="6">
                  <c:v>Health Administration</c:v>
                </c:pt>
                <c:pt idx="7">
                  <c:v>Human Resources Management</c:v>
                </c:pt>
                <c:pt idx="8">
                  <c:v>Public Relation</c:v>
                </c:pt>
              </c:strCache>
            </c:strRef>
          </c:cat>
          <c:val>
            <c:numRef>
              <c:f>Sheet11!$B$4:$B$12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30</c:v>
                </c:pt>
                <c:pt idx="3">
                  <c:v>108</c:v>
                </c:pt>
                <c:pt idx="4">
                  <c:v>2</c:v>
                </c:pt>
                <c:pt idx="5">
                  <c:v>39</c:v>
                </c:pt>
                <c:pt idx="6">
                  <c:v>23</c:v>
                </c:pt>
                <c:pt idx="7">
                  <c:v>22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6-42E0-BFD3-1ECD74C05F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44337999"/>
        <c:axId val="1644337167"/>
      </c:barChart>
      <c:catAx>
        <c:axId val="164433799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course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37167"/>
        <c:crosses val="autoZero"/>
        <c:auto val="1"/>
        <c:lblAlgn val="ctr"/>
        <c:lblOffset val="100"/>
        <c:noMultiLvlLbl val="0"/>
      </c:catAx>
      <c:valAx>
        <c:axId val="164433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37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cleaning.xlsx]Sheet12!PivotTable59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currently employed or involved in any community service or volunteer work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Sheet12!$A$4:$A$5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Sheet12!$B$4:$B$5</c:f>
              <c:numCache>
                <c:formatCode>General</c:formatCode>
                <c:ptCount val="2"/>
                <c:pt idx="0">
                  <c:v>207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4-4110-8B4B-713E29D8A57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4621183"/>
        <c:axId val="1484629919"/>
      </c:barChart>
      <c:catAx>
        <c:axId val="1484621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employed/unemployed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29919"/>
        <c:crosses val="autoZero"/>
        <c:auto val="1"/>
        <c:lblAlgn val="ctr"/>
        <c:lblOffset val="100"/>
        <c:noMultiLvlLbl val="0"/>
      </c:catAx>
      <c:valAx>
        <c:axId val="148462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21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cleaning.xlsx]Sheet13!PivotTable64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current financial situation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Sheet13!$A$4:$A$7</c:f>
              <c:strCache>
                <c:ptCount val="4"/>
                <c:pt idx="0">
                  <c:v> household</c:v>
                </c:pt>
                <c:pt idx="1">
                  <c:v>dependent</c:v>
                </c:pt>
                <c:pt idx="2">
                  <c:v>household</c:v>
                </c:pt>
                <c:pt idx="3">
                  <c:v>income</c:v>
                </c:pt>
              </c:strCache>
            </c:strRef>
          </c:cat>
          <c:val>
            <c:numRef>
              <c:f>Sheet13!$B$4:$B$7</c:f>
              <c:numCache>
                <c:formatCode>General</c:formatCode>
                <c:ptCount val="4"/>
                <c:pt idx="0">
                  <c:v>1</c:v>
                </c:pt>
                <c:pt idx="1">
                  <c:v>192</c:v>
                </c:pt>
                <c:pt idx="2">
                  <c:v>14</c:v>
                </c:pt>
                <c:pt idx="3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23-4765-8979-FEA4AD6254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4330927"/>
        <c:axId val="1644347983"/>
      </c:barChart>
      <c:catAx>
        <c:axId val="1644330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financial</a:t>
                </a:r>
                <a:r>
                  <a:rPr lang="en-US" baseline="0"/>
                  <a:t> situation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47983"/>
        <c:crosses val="autoZero"/>
        <c:auto val="1"/>
        <c:lblAlgn val="ctr"/>
        <c:lblOffset val="100"/>
        <c:noMultiLvlLbl val="0"/>
      </c:catAx>
      <c:valAx>
        <c:axId val="164434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3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cleaning.xlsx]Sheet3!PivotTable12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nationality?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Sheet3!$A$4:$A$9</c:f>
              <c:strCache>
                <c:ptCount val="6"/>
                <c:pt idx="0">
                  <c:v>Burundian</c:v>
                </c:pt>
                <c:pt idx="1">
                  <c:v>Congolese</c:v>
                </c:pt>
                <c:pt idx="2">
                  <c:v>Rwandese</c:v>
                </c:pt>
                <c:pt idx="3">
                  <c:v>S. sudanese</c:v>
                </c:pt>
                <c:pt idx="4">
                  <c:v>Somalian</c:v>
                </c:pt>
                <c:pt idx="5">
                  <c:v>Sudanese</c:v>
                </c:pt>
              </c:strCache>
            </c:strRef>
          </c:cat>
          <c:val>
            <c:numRef>
              <c:f>Sheet3!$B$4:$B$9</c:f>
              <c:numCache>
                <c:formatCode>General</c:formatCode>
                <c:ptCount val="6"/>
                <c:pt idx="0">
                  <c:v>34</c:v>
                </c:pt>
                <c:pt idx="1">
                  <c:v>32</c:v>
                </c:pt>
                <c:pt idx="2">
                  <c:v>19</c:v>
                </c:pt>
                <c:pt idx="3">
                  <c:v>66</c:v>
                </c:pt>
                <c:pt idx="4">
                  <c:v>22</c:v>
                </c:pt>
                <c:pt idx="5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88-42B1-863D-DCA6493F39C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2163679"/>
        <c:axId val="1482162847"/>
      </c:barChart>
      <c:catAx>
        <c:axId val="1482163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Nationality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62847"/>
        <c:crosses val="autoZero"/>
        <c:auto val="1"/>
        <c:lblAlgn val="ctr"/>
        <c:lblOffset val="100"/>
        <c:noMultiLvlLbl val="0"/>
      </c:catAx>
      <c:valAx>
        <c:axId val="148216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6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cleaning.xlsx]Sheet4!PivotTable17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marital status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Sheet4!$A$4:$A$5</c:f>
              <c:strCache>
                <c:ptCount val="2"/>
                <c:pt idx="0">
                  <c:v>Married</c:v>
                </c:pt>
                <c:pt idx="1">
                  <c:v>Single</c:v>
                </c:pt>
              </c:strCache>
            </c:strRef>
          </c:cat>
          <c:val>
            <c:numRef>
              <c:f>Sheet4!$B$4:$B$5</c:f>
              <c:numCache>
                <c:formatCode>General</c:formatCode>
                <c:ptCount val="2"/>
                <c:pt idx="0">
                  <c:v>135</c:v>
                </c:pt>
                <c:pt idx="1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D-4A4F-A8BB-39A0E2ACF4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4629919"/>
        <c:axId val="1484627423"/>
      </c:barChart>
      <c:catAx>
        <c:axId val="148462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Marital</a:t>
                </a:r>
                <a:r>
                  <a:rPr lang="en-US" baseline="0"/>
                  <a:t> status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27423"/>
        <c:crosses val="autoZero"/>
        <c:auto val="1"/>
        <c:lblAlgn val="ctr"/>
        <c:lblOffset val="100"/>
        <c:noMultiLvlLbl val="0"/>
      </c:catAx>
      <c:valAx>
        <c:axId val="148462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2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cleaning.xlsx]Sheet5!PivotTable22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location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Sheet5!$A$4:$A$7</c:f>
              <c:strCache>
                <c:ptCount val="4"/>
                <c:pt idx="0">
                  <c:v>kakuma 1</c:v>
                </c:pt>
                <c:pt idx="1">
                  <c:v>kakuma 2</c:v>
                </c:pt>
                <c:pt idx="2">
                  <c:v>kakuma 3</c:v>
                </c:pt>
                <c:pt idx="3">
                  <c:v>kakuma 4</c:v>
                </c:pt>
              </c:strCache>
            </c:strRef>
          </c:cat>
          <c:val>
            <c:numRef>
              <c:f>Sheet5!$B$4:$B$7</c:f>
              <c:numCache>
                <c:formatCode>General</c:formatCode>
                <c:ptCount val="4"/>
                <c:pt idx="0">
                  <c:v>87</c:v>
                </c:pt>
                <c:pt idx="1">
                  <c:v>34</c:v>
                </c:pt>
                <c:pt idx="2">
                  <c:v>81</c:v>
                </c:pt>
                <c:pt idx="3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70-4F63-82B7-53E93274604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41392687"/>
        <c:axId val="1541387695"/>
      </c:barChart>
      <c:catAx>
        <c:axId val="1541392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387695"/>
        <c:crosses val="autoZero"/>
        <c:auto val="1"/>
        <c:lblAlgn val="ctr"/>
        <c:lblOffset val="100"/>
        <c:noMultiLvlLbl val="0"/>
      </c:catAx>
      <c:valAx>
        <c:axId val="15413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392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cleaning.xlsx]Sheet6!PivotTable27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preferred language of communication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Sheet6!$A$4:$A$11</c:f>
              <c:strCache>
                <c:ptCount val="8"/>
                <c:pt idx="0">
                  <c:v>English</c:v>
                </c:pt>
                <c:pt idx="1">
                  <c:v>English Arabic</c:v>
                </c:pt>
                <c:pt idx="2">
                  <c:v>English French</c:v>
                </c:pt>
                <c:pt idx="3">
                  <c:v>English Swahili</c:v>
                </c:pt>
                <c:pt idx="4">
                  <c:v>English Swahili Arabic</c:v>
                </c:pt>
                <c:pt idx="5">
                  <c:v>French</c:v>
                </c:pt>
                <c:pt idx="6">
                  <c:v>Spanish</c:v>
                </c:pt>
                <c:pt idx="7">
                  <c:v>Swahili</c:v>
                </c:pt>
              </c:strCache>
            </c:strRef>
          </c:cat>
          <c:val>
            <c:numRef>
              <c:f>Sheet6!$B$4:$B$11</c:f>
              <c:numCache>
                <c:formatCode>General</c:formatCode>
                <c:ptCount val="8"/>
                <c:pt idx="0">
                  <c:v>206</c:v>
                </c:pt>
                <c:pt idx="1">
                  <c:v>2</c:v>
                </c:pt>
                <c:pt idx="2">
                  <c:v>1</c:v>
                </c:pt>
                <c:pt idx="3">
                  <c:v>8</c:v>
                </c:pt>
                <c:pt idx="4">
                  <c:v>11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0-4B10-99CE-C1148B20D1D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45423087"/>
        <c:axId val="1545418927"/>
      </c:barChart>
      <c:catAx>
        <c:axId val="1545423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418927"/>
        <c:crosses val="autoZero"/>
        <c:auto val="1"/>
        <c:lblAlgn val="ctr"/>
        <c:lblOffset val="100"/>
        <c:noMultiLvlLbl val="0"/>
      </c:catAx>
      <c:valAx>
        <c:axId val="154541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languages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423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cleaning.xlsx]Sheet7!PivotTable32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level of Education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Sheet7!$A$4:$A$5</c:f>
              <c:strCache>
                <c:ptCount val="2"/>
                <c:pt idx="0">
                  <c:v>High school</c:v>
                </c:pt>
                <c:pt idx="1">
                  <c:v>Undergraduate</c:v>
                </c:pt>
              </c:strCache>
            </c:strRef>
          </c:cat>
          <c:val>
            <c:numRef>
              <c:f>Sheet7!$B$4:$B$5</c:f>
              <c:numCache>
                <c:formatCode>General</c:formatCode>
                <c:ptCount val="2"/>
                <c:pt idx="0">
                  <c:v>230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5-4726-B610-3AB449F2B8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2691215"/>
        <c:axId val="1548151775"/>
      </c:barChart>
      <c:catAx>
        <c:axId val="1482691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  <a:r>
                  <a:rPr lang="en-US" baseline="0"/>
                  <a:t> of education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151775"/>
        <c:crosses val="autoZero"/>
        <c:auto val="1"/>
        <c:lblAlgn val="ctr"/>
        <c:lblOffset val="100"/>
        <c:noMultiLvlLbl val="0"/>
      </c:catAx>
      <c:valAx>
        <c:axId val="154815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691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year  of completion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'scholarship for Refugees in ...'!$J$1</c:f>
              <c:strCache>
                <c:ptCount val="1"/>
                <c:pt idx="0">
                  <c:v>what was the year  of completion ?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'scholarship for Refugees in ...'!$J$2:$J$239</c:f>
              <c:numCache>
                <c:formatCode>General</c:formatCode>
                <c:ptCount val="238"/>
                <c:pt idx="0">
                  <c:v>2022</c:v>
                </c:pt>
                <c:pt idx="1">
                  <c:v>2016</c:v>
                </c:pt>
                <c:pt idx="2">
                  <c:v>2023</c:v>
                </c:pt>
                <c:pt idx="3">
                  <c:v>2023</c:v>
                </c:pt>
                <c:pt idx="4">
                  <c:v>2022</c:v>
                </c:pt>
                <c:pt idx="5">
                  <c:v>2023</c:v>
                </c:pt>
                <c:pt idx="6">
                  <c:v>2023</c:v>
                </c:pt>
                <c:pt idx="7">
                  <c:v>2020</c:v>
                </c:pt>
                <c:pt idx="8">
                  <c:v>2023</c:v>
                </c:pt>
                <c:pt idx="9">
                  <c:v>2024</c:v>
                </c:pt>
                <c:pt idx="10">
                  <c:v>2024</c:v>
                </c:pt>
                <c:pt idx="11">
                  <c:v>2024</c:v>
                </c:pt>
                <c:pt idx="12">
                  <c:v>2023</c:v>
                </c:pt>
                <c:pt idx="13">
                  <c:v>2022</c:v>
                </c:pt>
                <c:pt idx="14">
                  <c:v>2023</c:v>
                </c:pt>
                <c:pt idx="15">
                  <c:v>2021</c:v>
                </c:pt>
                <c:pt idx="16">
                  <c:v>2023</c:v>
                </c:pt>
                <c:pt idx="17">
                  <c:v>2023</c:v>
                </c:pt>
                <c:pt idx="18">
                  <c:v>2023</c:v>
                </c:pt>
                <c:pt idx="19">
                  <c:v>2022</c:v>
                </c:pt>
                <c:pt idx="20">
                  <c:v>2015</c:v>
                </c:pt>
                <c:pt idx="21">
                  <c:v>2023</c:v>
                </c:pt>
                <c:pt idx="22">
                  <c:v>2021</c:v>
                </c:pt>
                <c:pt idx="23">
                  <c:v>2022</c:v>
                </c:pt>
                <c:pt idx="24">
                  <c:v>2017</c:v>
                </c:pt>
                <c:pt idx="25">
                  <c:v>2021</c:v>
                </c:pt>
                <c:pt idx="26">
                  <c:v>2020</c:v>
                </c:pt>
                <c:pt idx="27">
                  <c:v>2020</c:v>
                </c:pt>
                <c:pt idx="28">
                  <c:v>2017</c:v>
                </c:pt>
                <c:pt idx="29">
                  <c:v>2024</c:v>
                </c:pt>
                <c:pt idx="30">
                  <c:v>2021</c:v>
                </c:pt>
                <c:pt idx="31">
                  <c:v>2021</c:v>
                </c:pt>
                <c:pt idx="32">
                  <c:v>2024</c:v>
                </c:pt>
                <c:pt idx="33">
                  <c:v>2024</c:v>
                </c:pt>
                <c:pt idx="34">
                  <c:v>2022</c:v>
                </c:pt>
                <c:pt idx="35">
                  <c:v>2022</c:v>
                </c:pt>
                <c:pt idx="36">
                  <c:v>2022</c:v>
                </c:pt>
                <c:pt idx="37">
                  <c:v>2023</c:v>
                </c:pt>
                <c:pt idx="38">
                  <c:v>2018</c:v>
                </c:pt>
                <c:pt idx="39">
                  <c:v>2019</c:v>
                </c:pt>
                <c:pt idx="40">
                  <c:v>2023</c:v>
                </c:pt>
                <c:pt idx="41">
                  <c:v>2021</c:v>
                </c:pt>
                <c:pt idx="42">
                  <c:v>2024</c:v>
                </c:pt>
                <c:pt idx="43">
                  <c:v>2023</c:v>
                </c:pt>
                <c:pt idx="44">
                  <c:v>2021</c:v>
                </c:pt>
                <c:pt idx="45">
                  <c:v>2022</c:v>
                </c:pt>
                <c:pt idx="46">
                  <c:v>2020</c:v>
                </c:pt>
                <c:pt idx="47">
                  <c:v>2021</c:v>
                </c:pt>
                <c:pt idx="48">
                  <c:v>2022</c:v>
                </c:pt>
                <c:pt idx="49">
                  <c:v>2022</c:v>
                </c:pt>
                <c:pt idx="50">
                  <c:v>2024</c:v>
                </c:pt>
                <c:pt idx="51">
                  <c:v>2021</c:v>
                </c:pt>
                <c:pt idx="52">
                  <c:v>2022</c:v>
                </c:pt>
                <c:pt idx="53">
                  <c:v>2023</c:v>
                </c:pt>
                <c:pt idx="54">
                  <c:v>2021</c:v>
                </c:pt>
                <c:pt idx="55">
                  <c:v>2022</c:v>
                </c:pt>
                <c:pt idx="56">
                  <c:v>2021</c:v>
                </c:pt>
                <c:pt idx="57">
                  <c:v>2024</c:v>
                </c:pt>
                <c:pt idx="58">
                  <c:v>2021</c:v>
                </c:pt>
                <c:pt idx="59">
                  <c:v>2021</c:v>
                </c:pt>
                <c:pt idx="60">
                  <c:v>2020</c:v>
                </c:pt>
                <c:pt idx="61">
                  <c:v>2015</c:v>
                </c:pt>
                <c:pt idx="62">
                  <c:v>2021</c:v>
                </c:pt>
                <c:pt idx="63">
                  <c:v>2024</c:v>
                </c:pt>
                <c:pt idx="64">
                  <c:v>2024</c:v>
                </c:pt>
                <c:pt idx="65">
                  <c:v>2023</c:v>
                </c:pt>
                <c:pt idx="66">
                  <c:v>2021</c:v>
                </c:pt>
                <c:pt idx="67">
                  <c:v>2021</c:v>
                </c:pt>
                <c:pt idx="68">
                  <c:v>2020</c:v>
                </c:pt>
                <c:pt idx="69">
                  <c:v>2021</c:v>
                </c:pt>
                <c:pt idx="70">
                  <c:v>2023</c:v>
                </c:pt>
                <c:pt idx="71">
                  <c:v>2023</c:v>
                </c:pt>
                <c:pt idx="72">
                  <c:v>2022</c:v>
                </c:pt>
                <c:pt idx="73">
                  <c:v>2022</c:v>
                </c:pt>
                <c:pt idx="74">
                  <c:v>2022</c:v>
                </c:pt>
                <c:pt idx="75">
                  <c:v>2024</c:v>
                </c:pt>
                <c:pt idx="76">
                  <c:v>2021</c:v>
                </c:pt>
                <c:pt idx="77">
                  <c:v>2005</c:v>
                </c:pt>
                <c:pt idx="78">
                  <c:v>2023</c:v>
                </c:pt>
                <c:pt idx="79">
                  <c:v>2022</c:v>
                </c:pt>
                <c:pt idx="80">
                  <c:v>2020</c:v>
                </c:pt>
                <c:pt idx="81">
                  <c:v>2023</c:v>
                </c:pt>
                <c:pt idx="82">
                  <c:v>2020</c:v>
                </c:pt>
                <c:pt idx="83">
                  <c:v>2023</c:v>
                </c:pt>
                <c:pt idx="84">
                  <c:v>2023</c:v>
                </c:pt>
                <c:pt idx="85">
                  <c:v>2023</c:v>
                </c:pt>
                <c:pt idx="86">
                  <c:v>2023</c:v>
                </c:pt>
                <c:pt idx="87">
                  <c:v>2023</c:v>
                </c:pt>
                <c:pt idx="88">
                  <c:v>2023</c:v>
                </c:pt>
                <c:pt idx="89">
                  <c:v>2024</c:v>
                </c:pt>
                <c:pt idx="90">
                  <c:v>2021</c:v>
                </c:pt>
                <c:pt idx="91">
                  <c:v>2021</c:v>
                </c:pt>
                <c:pt idx="92">
                  <c:v>2023</c:v>
                </c:pt>
                <c:pt idx="93">
                  <c:v>2022</c:v>
                </c:pt>
                <c:pt idx="94">
                  <c:v>2005</c:v>
                </c:pt>
                <c:pt idx="95">
                  <c:v>2022</c:v>
                </c:pt>
                <c:pt idx="96">
                  <c:v>2023</c:v>
                </c:pt>
                <c:pt idx="97">
                  <c:v>2022</c:v>
                </c:pt>
                <c:pt idx="98">
                  <c:v>2023</c:v>
                </c:pt>
                <c:pt idx="99">
                  <c:v>2023</c:v>
                </c:pt>
                <c:pt idx="100">
                  <c:v>2021</c:v>
                </c:pt>
                <c:pt idx="101">
                  <c:v>2023</c:v>
                </c:pt>
                <c:pt idx="102">
                  <c:v>2019</c:v>
                </c:pt>
                <c:pt idx="103">
                  <c:v>2022</c:v>
                </c:pt>
                <c:pt idx="104">
                  <c:v>2021</c:v>
                </c:pt>
                <c:pt idx="105">
                  <c:v>2020</c:v>
                </c:pt>
                <c:pt idx="106">
                  <c:v>2019</c:v>
                </c:pt>
                <c:pt idx="107">
                  <c:v>2022</c:v>
                </c:pt>
                <c:pt idx="108">
                  <c:v>2022</c:v>
                </c:pt>
                <c:pt idx="109">
                  <c:v>2021</c:v>
                </c:pt>
                <c:pt idx="110">
                  <c:v>2021</c:v>
                </c:pt>
                <c:pt idx="111">
                  <c:v>2021</c:v>
                </c:pt>
                <c:pt idx="112">
                  <c:v>2020</c:v>
                </c:pt>
                <c:pt idx="113">
                  <c:v>2018</c:v>
                </c:pt>
                <c:pt idx="114">
                  <c:v>2023</c:v>
                </c:pt>
                <c:pt idx="115">
                  <c:v>2021</c:v>
                </c:pt>
                <c:pt idx="116">
                  <c:v>2021</c:v>
                </c:pt>
                <c:pt idx="117">
                  <c:v>2022</c:v>
                </c:pt>
                <c:pt idx="118">
                  <c:v>2023</c:v>
                </c:pt>
                <c:pt idx="119">
                  <c:v>2021</c:v>
                </c:pt>
                <c:pt idx="120">
                  <c:v>2018</c:v>
                </c:pt>
                <c:pt idx="121">
                  <c:v>2023</c:v>
                </c:pt>
                <c:pt idx="122">
                  <c:v>2021</c:v>
                </c:pt>
                <c:pt idx="123">
                  <c:v>2022</c:v>
                </c:pt>
                <c:pt idx="124">
                  <c:v>2019</c:v>
                </c:pt>
                <c:pt idx="125">
                  <c:v>2018</c:v>
                </c:pt>
                <c:pt idx="126">
                  <c:v>2021</c:v>
                </c:pt>
                <c:pt idx="127">
                  <c:v>2022</c:v>
                </c:pt>
                <c:pt idx="128">
                  <c:v>2021</c:v>
                </c:pt>
                <c:pt idx="129">
                  <c:v>2019</c:v>
                </c:pt>
                <c:pt idx="130">
                  <c:v>2021</c:v>
                </c:pt>
                <c:pt idx="131">
                  <c:v>2024</c:v>
                </c:pt>
                <c:pt idx="132">
                  <c:v>2024</c:v>
                </c:pt>
                <c:pt idx="133">
                  <c:v>2021</c:v>
                </c:pt>
                <c:pt idx="134">
                  <c:v>2023</c:v>
                </c:pt>
                <c:pt idx="135">
                  <c:v>2021</c:v>
                </c:pt>
                <c:pt idx="136">
                  <c:v>2021</c:v>
                </c:pt>
                <c:pt idx="137">
                  <c:v>2019</c:v>
                </c:pt>
                <c:pt idx="138">
                  <c:v>2019</c:v>
                </c:pt>
                <c:pt idx="139">
                  <c:v>2023</c:v>
                </c:pt>
                <c:pt idx="140">
                  <c:v>2018</c:v>
                </c:pt>
                <c:pt idx="141">
                  <c:v>2021</c:v>
                </c:pt>
                <c:pt idx="142">
                  <c:v>2021</c:v>
                </c:pt>
                <c:pt idx="143">
                  <c:v>2021</c:v>
                </c:pt>
                <c:pt idx="144">
                  <c:v>2021</c:v>
                </c:pt>
                <c:pt idx="145">
                  <c:v>2023</c:v>
                </c:pt>
                <c:pt idx="146">
                  <c:v>2021</c:v>
                </c:pt>
                <c:pt idx="147">
                  <c:v>2021</c:v>
                </c:pt>
                <c:pt idx="148">
                  <c:v>2023</c:v>
                </c:pt>
                <c:pt idx="149">
                  <c:v>2022</c:v>
                </c:pt>
                <c:pt idx="150">
                  <c:v>2020</c:v>
                </c:pt>
                <c:pt idx="151">
                  <c:v>2021</c:v>
                </c:pt>
                <c:pt idx="152">
                  <c:v>2020</c:v>
                </c:pt>
                <c:pt idx="153">
                  <c:v>2020</c:v>
                </c:pt>
                <c:pt idx="154">
                  <c:v>2021</c:v>
                </c:pt>
                <c:pt idx="155">
                  <c:v>2023</c:v>
                </c:pt>
                <c:pt idx="156">
                  <c:v>2021</c:v>
                </c:pt>
                <c:pt idx="157">
                  <c:v>2023</c:v>
                </c:pt>
                <c:pt idx="158">
                  <c:v>2021</c:v>
                </c:pt>
                <c:pt idx="159">
                  <c:v>2023</c:v>
                </c:pt>
                <c:pt idx="160">
                  <c:v>2022</c:v>
                </c:pt>
                <c:pt idx="161">
                  <c:v>2021</c:v>
                </c:pt>
                <c:pt idx="162">
                  <c:v>2020</c:v>
                </c:pt>
                <c:pt idx="163">
                  <c:v>2022</c:v>
                </c:pt>
                <c:pt idx="164">
                  <c:v>2021</c:v>
                </c:pt>
                <c:pt idx="165">
                  <c:v>2021</c:v>
                </c:pt>
                <c:pt idx="166">
                  <c:v>2021</c:v>
                </c:pt>
                <c:pt idx="167">
                  <c:v>2019</c:v>
                </c:pt>
                <c:pt idx="168">
                  <c:v>2021</c:v>
                </c:pt>
                <c:pt idx="169">
                  <c:v>2021</c:v>
                </c:pt>
                <c:pt idx="170">
                  <c:v>2019</c:v>
                </c:pt>
                <c:pt idx="171">
                  <c:v>2021</c:v>
                </c:pt>
                <c:pt idx="172">
                  <c:v>2021</c:v>
                </c:pt>
                <c:pt idx="173">
                  <c:v>2021</c:v>
                </c:pt>
                <c:pt idx="174">
                  <c:v>2022</c:v>
                </c:pt>
                <c:pt idx="175">
                  <c:v>2023</c:v>
                </c:pt>
                <c:pt idx="176">
                  <c:v>2024</c:v>
                </c:pt>
                <c:pt idx="177">
                  <c:v>2022</c:v>
                </c:pt>
                <c:pt idx="178">
                  <c:v>2024</c:v>
                </c:pt>
                <c:pt idx="179">
                  <c:v>2024</c:v>
                </c:pt>
                <c:pt idx="180">
                  <c:v>2024</c:v>
                </c:pt>
                <c:pt idx="181">
                  <c:v>2024</c:v>
                </c:pt>
                <c:pt idx="182">
                  <c:v>2024</c:v>
                </c:pt>
                <c:pt idx="183">
                  <c:v>2021</c:v>
                </c:pt>
                <c:pt idx="184">
                  <c:v>2021</c:v>
                </c:pt>
                <c:pt idx="185">
                  <c:v>2021</c:v>
                </c:pt>
                <c:pt idx="186">
                  <c:v>2021</c:v>
                </c:pt>
                <c:pt idx="187">
                  <c:v>2023</c:v>
                </c:pt>
                <c:pt idx="188">
                  <c:v>2023</c:v>
                </c:pt>
                <c:pt idx="189">
                  <c:v>2024</c:v>
                </c:pt>
                <c:pt idx="190">
                  <c:v>2023</c:v>
                </c:pt>
                <c:pt idx="191">
                  <c:v>2023</c:v>
                </c:pt>
                <c:pt idx="192">
                  <c:v>2023</c:v>
                </c:pt>
                <c:pt idx="193">
                  <c:v>2023</c:v>
                </c:pt>
                <c:pt idx="194">
                  <c:v>2023</c:v>
                </c:pt>
                <c:pt idx="195">
                  <c:v>2021</c:v>
                </c:pt>
                <c:pt idx="196">
                  <c:v>2023</c:v>
                </c:pt>
                <c:pt idx="197">
                  <c:v>2024</c:v>
                </c:pt>
                <c:pt idx="198">
                  <c:v>2016</c:v>
                </c:pt>
                <c:pt idx="199">
                  <c:v>2021</c:v>
                </c:pt>
                <c:pt idx="200">
                  <c:v>2021</c:v>
                </c:pt>
                <c:pt idx="201">
                  <c:v>2023</c:v>
                </c:pt>
                <c:pt idx="202">
                  <c:v>2023</c:v>
                </c:pt>
                <c:pt idx="203">
                  <c:v>2023</c:v>
                </c:pt>
                <c:pt idx="204">
                  <c:v>2023</c:v>
                </c:pt>
                <c:pt idx="205">
                  <c:v>2023</c:v>
                </c:pt>
                <c:pt idx="206">
                  <c:v>2021</c:v>
                </c:pt>
                <c:pt idx="207">
                  <c:v>2023</c:v>
                </c:pt>
                <c:pt idx="208">
                  <c:v>2021</c:v>
                </c:pt>
                <c:pt idx="209">
                  <c:v>2023</c:v>
                </c:pt>
                <c:pt idx="210">
                  <c:v>2023</c:v>
                </c:pt>
                <c:pt idx="211">
                  <c:v>2023</c:v>
                </c:pt>
                <c:pt idx="212">
                  <c:v>2022</c:v>
                </c:pt>
                <c:pt idx="213">
                  <c:v>2023</c:v>
                </c:pt>
                <c:pt idx="214">
                  <c:v>2023</c:v>
                </c:pt>
                <c:pt idx="215">
                  <c:v>2024</c:v>
                </c:pt>
                <c:pt idx="216">
                  <c:v>2021</c:v>
                </c:pt>
                <c:pt idx="217">
                  <c:v>2023</c:v>
                </c:pt>
                <c:pt idx="218">
                  <c:v>2023</c:v>
                </c:pt>
                <c:pt idx="219">
                  <c:v>2021</c:v>
                </c:pt>
                <c:pt idx="220">
                  <c:v>2021</c:v>
                </c:pt>
                <c:pt idx="221">
                  <c:v>2023</c:v>
                </c:pt>
                <c:pt idx="222">
                  <c:v>2023</c:v>
                </c:pt>
                <c:pt idx="223">
                  <c:v>2023</c:v>
                </c:pt>
                <c:pt idx="224">
                  <c:v>2023</c:v>
                </c:pt>
                <c:pt idx="225">
                  <c:v>2023</c:v>
                </c:pt>
                <c:pt idx="226">
                  <c:v>2023</c:v>
                </c:pt>
                <c:pt idx="227">
                  <c:v>2024</c:v>
                </c:pt>
                <c:pt idx="228">
                  <c:v>2024</c:v>
                </c:pt>
                <c:pt idx="229">
                  <c:v>2023</c:v>
                </c:pt>
                <c:pt idx="230">
                  <c:v>2023</c:v>
                </c:pt>
                <c:pt idx="231">
                  <c:v>2023</c:v>
                </c:pt>
                <c:pt idx="232">
                  <c:v>2023</c:v>
                </c:pt>
                <c:pt idx="233">
                  <c:v>2024</c:v>
                </c:pt>
                <c:pt idx="234">
                  <c:v>2023</c:v>
                </c:pt>
                <c:pt idx="235">
                  <c:v>2024</c:v>
                </c:pt>
                <c:pt idx="236">
                  <c:v>2024</c:v>
                </c:pt>
                <c:pt idx="237">
                  <c:v>2023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15-400F-AACD-9243D6A45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930975"/>
        <c:axId val="1483932975"/>
      </c:scatterChart>
      <c:valAx>
        <c:axId val="164593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932975"/>
        <c:crosses val="autoZero"/>
        <c:crossBetween val="midCat"/>
      </c:valAx>
      <c:valAx>
        <c:axId val="148393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93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cleaning.xlsx]Sheet8!PivotTable39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final Grade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Sheet8!$A$4:$A$15</c:f>
              <c:strCache>
                <c:ptCount val="12"/>
                <c:pt idx="0">
                  <c:v>A</c:v>
                </c:pt>
                <c:pt idx="1">
                  <c:v>A-</c:v>
                </c:pt>
                <c:pt idx="2">
                  <c:v>B</c:v>
                </c:pt>
                <c:pt idx="3">
                  <c:v>B-</c:v>
                </c:pt>
                <c:pt idx="4">
                  <c:v>B+</c:v>
                </c:pt>
                <c:pt idx="5">
                  <c:v>C</c:v>
                </c:pt>
                <c:pt idx="6">
                  <c:v>C-</c:v>
                </c:pt>
                <c:pt idx="7">
                  <c:v>C_</c:v>
                </c:pt>
                <c:pt idx="8">
                  <c:v>C+</c:v>
                </c:pt>
                <c:pt idx="9">
                  <c:v>D</c:v>
                </c:pt>
                <c:pt idx="10">
                  <c:v>D-</c:v>
                </c:pt>
                <c:pt idx="11">
                  <c:v>D+</c:v>
                </c:pt>
              </c:strCache>
            </c:strRef>
          </c:cat>
          <c:val>
            <c:numRef>
              <c:f>Sheet8!$B$4:$B$15</c:f>
              <c:numCache>
                <c:formatCode>General</c:formatCode>
                <c:ptCount val="12"/>
                <c:pt idx="0">
                  <c:v>11</c:v>
                </c:pt>
                <c:pt idx="1">
                  <c:v>4</c:v>
                </c:pt>
                <c:pt idx="2">
                  <c:v>67</c:v>
                </c:pt>
                <c:pt idx="3">
                  <c:v>7</c:v>
                </c:pt>
                <c:pt idx="4">
                  <c:v>6</c:v>
                </c:pt>
                <c:pt idx="5">
                  <c:v>94</c:v>
                </c:pt>
                <c:pt idx="6">
                  <c:v>3</c:v>
                </c:pt>
                <c:pt idx="7">
                  <c:v>1</c:v>
                </c:pt>
                <c:pt idx="8">
                  <c:v>15</c:v>
                </c:pt>
                <c:pt idx="9">
                  <c:v>27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78-4CC6-9483-6CC4298C80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4340495"/>
        <c:axId val="1644341327"/>
      </c:barChart>
      <c:catAx>
        <c:axId val="1644340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</a:t>
                </a:r>
                <a:r>
                  <a:rPr lang="en-US" baseline="0"/>
                  <a:t> grade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41327"/>
        <c:crosses val="autoZero"/>
        <c:auto val="1"/>
        <c:lblAlgn val="ctr"/>
        <c:lblOffset val="100"/>
        <c:noMultiLvlLbl val="0"/>
      </c:catAx>
      <c:valAx>
        <c:axId val="164434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4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[SCHOLARSHIP_Data cleaning.xlsx]Sheet9!PivotTable44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</a:t>
            </a:r>
            <a:r>
              <a:rPr lang="en-US"/>
              <a:t> school of completion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Sheet9!$A$4:$A$9</c:f>
              <c:strCache>
                <c:ptCount val="6"/>
                <c:pt idx="0">
                  <c:v>Blue State Secondary School</c:v>
                </c:pt>
                <c:pt idx="1">
                  <c:v>Greenlight secondary school</c:v>
                </c:pt>
                <c:pt idx="2">
                  <c:v>Greenlight secondary school </c:v>
                </c:pt>
                <c:pt idx="3">
                  <c:v>Kakuma Refugee secondary school</c:v>
                </c:pt>
                <c:pt idx="4">
                  <c:v>Somali Bantu Secondary school</c:v>
                </c:pt>
                <c:pt idx="5">
                  <c:v>Vision Secondary school</c:v>
                </c:pt>
              </c:strCache>
            </c:strRef>
          </c:cat>
          <c:val>
            <c:numRef>
              <c:f>Sheet9!$B$4:$B$9</c:f>
              <c:numCache>
                <c:formatCode>General</c:formatCode>
                <c:ptCount val="6"/>
                <c:pt idx="0">
                  <c:v>70</c:v>
                </c:pt>
                <c:pt idx="1">
                  <c:v>55</c:v>
                </c:pt>
                <c:pt idx="2">
                  <c:v>1</c:v>
                </c:pt>
                <c:pt idx="3">
                  <c:v>36</c:v>
                </c:pt>
                <c:pt idx="4">
                  <c:v>34</c:v>
                </c:pt>
                <c:pt idx="5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1-4EBA-9C8B-2BCC09DD38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44334255"/>
        <c:axId val="1644348399"/>
      </c:barChart>
      <c:catAx>
        <c:axId val="16443342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School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48399"/>
        <c:crosses val="autoZero"/>
        <c:auto val="1"/>
        <c:lblAlgn val="ctr"/>
        <c:lblOffset val="100"/>
        <c:noMultiLvlLbl val="0"/>
      </c:catAx>
      <c:valAx>
        <c:axId val="1644348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33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9235-F880-4832-A22E-B36F887C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2024-11-22T09:37:00Z</dcterms:created>
  <dcterms:modified xsi:type="dcterms:W3CDTF">2024-11-22T09:37:00Z</dcterms:modified>
</cp:coreProperties>
</file>