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97" w:rsidRDefault="006422F5"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I. Statement of Applicability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statement</w:t>
      </w:r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of applicability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II.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Pedoman</w:t>
      </w:r>
      <w:proofErr w:type="spell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pedoman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ISO 17025:2017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III.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kerahasiaan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informasi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hak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kepemilikan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independensi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3.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penyelesaian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ketidaksesuaian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4.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tindakan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perbaikan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pengendalian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pengendalian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ketidaksesuaian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3.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tindakan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perbaikan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pencegahan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peningkatan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4.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pengendalian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rekaman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catatan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teknis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5.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audit internal</w:t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6.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tinjauan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7.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peraturan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perundangan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persyaratan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8.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risiko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peluang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9.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komunikasi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10.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perubahan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induk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internal</w:t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induk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eksternal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distribusi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4.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berita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acara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pemusnahan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5.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riwayat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perubahan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6.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induk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rekaman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7.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permintaan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tindakan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perbaikan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pencegahan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8.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logbook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permintaan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tindakan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perbaikan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pencegahan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9.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audit internal</w:t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10.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hadir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opening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closing meeting</w:t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rekapitulasi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pertanyaan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audit internal</w:t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rekapitulasi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temuan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audit internal</w:t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rangkuman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verifikasi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perbaikan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audit internal</w:t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14.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undangan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tinjauan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15.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notulen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rapat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tinjauan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>16. 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pemenuhan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evaluasi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peraturan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perundangan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17. 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rekapitulasi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peraturan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perundangan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18. 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manajemen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risiko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peluang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19. 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matriks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penilaian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bahaya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resiko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20. 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analisis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swot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21. 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komunikasi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22. 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 proposal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perubahan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IV.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Personalia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pelatihan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kewenangan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personel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karyawan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>2. 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tugas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tanggung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jawab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personel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uraian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tugas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personel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penanggung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jawab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4.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uraian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tugas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personel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perjabatan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lastRenderedPageBreak/>
        <w:t xml:space="preserve">5.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pelatihan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6.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hadir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pelatihan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7.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evaluasi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pelatihan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V.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Produksi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faktor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kehandalan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metode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pengujian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metode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3.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validasi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ketidakpastian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pengukuran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pengendalian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data</w:t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4.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ketertelusuran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pengukuran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5.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pengambilan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contoh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6.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penanganan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barang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diuji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dikalibrasi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7.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pelaporan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faktor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kehandalan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lembar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informasi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metode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baru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lembar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validasi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metode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4.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lembar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ketertelusuran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pengukuran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5.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standar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acuan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6.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ketertelusuran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bahan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acuan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7.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lembar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pengambilan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contoh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8.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lembar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penanganan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barang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diuji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dikalibrasi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9.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penanganan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barang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diuji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dikalibrasi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10.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laporan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pengujian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11.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sertifikat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laporan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pengambilan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contoh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VI.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Purchasing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kaji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ulang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pekerjaan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pemilihan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pembelian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jasa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perbekalan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kaji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ulang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permintaan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tender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kontrak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subkontrak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pengujian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3.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pembelian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jasa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perbekalan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kaji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ulang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permintaan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tender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kontrak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evaluasi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kinerja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pemasok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pemasok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terpilih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4.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pra-kualifikasi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pemasok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5.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penerimaan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pemeriksaan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kualitas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jasa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perbekalan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VII.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Maintenance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persyaratan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teknis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kondisi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akomodasi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lingkungan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kesesuaian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peralatan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perlengkapan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3.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persyaratan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teknis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kondisi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akomodasi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lingkungan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kesesuaian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peralatan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perlengkapa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peralatan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VIII.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Sales Marketing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penyelesaian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pengaduan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pelayanan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pengaduan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daftar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keluhan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2.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tindaklanjut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keluhan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  <w:t xml:space="preserve">3.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survey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kepuasan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lastRenderedPageBreak/>
        <w:t xml:space="preserve">4.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analisis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survey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kepuasan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IX.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Quality Control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prosedur</w:t>
      </w:r>
      <w:proofErr w:type="spellEnd"/>
      <w:proofErr w:type="gram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jaminan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mutu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pengujian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form</w:t>
      </w:r>
      <w:proofErr w:type="gram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jaminan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mutu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pengujian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hasil</w:t>
      </w:r>
      <w:proofErr w:type="spellEnd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74E13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 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X.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Pendukung</w:t>
      </w:r>
      <w:proofErr w:type="spellEnd"/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visi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misi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2.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kebijakan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3.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struktur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organisasi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4.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surat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keputusan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pelaksanaan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ISO 17025</w:t>
      </w:r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5. </w:t>
      </w:r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program</w:t>
      </w:r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pengujian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6. </w:t>
      </w:r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program</w:t>
      </w:r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kalibrasi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7. </w:t>
      </w:r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program</w:t>
      </w:r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rencana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pengambilan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contoh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8. </w:t>
      </w:r>
      <w:proofErr w:type="spellStart"/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sasaran</w:t>
      </w:r>
      <w:proofErr w:type="spellEnd"/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laboratorium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br/>
        <w:t xml:space="preserve">9. </w:t>
      </w:r>
      <w:proofErr w:type="gram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monitoring</w:t>
      </w:r>
      <w:proofErr w:type="gram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pencapaian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sasaran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kompetensi</w:t>
      </w:r>
      <w:proofErr w:type="spellEnd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0000"/>
          <w:sz w:val="20"/>
          <w:szCs w:val="20"/>
          <w:shd w:val="clear" w:color="auto" w:fill="FFFFFF"/>
        </w:rPr>
        <w:t>laboratorium</w:t>
      </w:r>
      <w:bookmarkStart w:id="0" w:name="_GoBack"/>
      <w:bookmarkEnd w:id="0"/>
      <w:proofErr w:type="spellEnd"/>
    </w:p>
    <w:sectPr w:rsidR="006C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F5"/>
    <w:rsid w:val="006422F5"/>
    <w:rsid w:val="006C2C97"/>
    <w:rsid w:val="00937B0B"/>
    <w:rsid w:val="00C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F367B-22D8-4E98-AC86-91618EF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602</Words>
  <Characters>3765</Characters>
  <Application>Microsoft Office Word</Application>
  <DocSecurity>0</DocSecurity>
  <Lines>268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2021-10-11T08:29:00Z</dcterms:created>
  <dcterms:modified xsi:type="dcterms:W3CDTF">2021-10-11T10:25:00Z</dcterms:modified>
</cp:coreProperties>
</file>