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w16se="http://schemas.microsoft.com/office/word/2015/wordml/symex" xmlns:cx="http://schemas.microsoft.com/office/drawing/2014/chartex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0935F9">
        <w:rPr>
          <w:rFonts w:asciiTheme="majorBidi" w:hAnsiTheme="majorBidi" w:cstheme="majorBidi"/>
          <w:b/>
          <w:noProof/>
          <w:lang w:eastAsia="id-ID"/>
        </w:rPr>
        <w:t>KEBIJAKAN DAN SASARAN MUTU, PERSYARATAN UMUM, DAN PERSYARATAN STRUKTUR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0935F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1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ED44A4">
        <w:rPr>
          <w:rFonts w:asciiTheme="majorBidi" w:hAnsiTheme="majorBidi" w:cstheme="majorBidi"/>
          <w:noProof/>
          <w:sz w:val="24"/>
          <w:szCs w:val="40"/>
          <w:lang w:eastAsia="id-ID"/>
        </w:rPr>
        <w:t>Analisis resiko untuk mengidentifikasi potensi ketidak berpihakan serta upaya untuk meminimalisasi resiko tersebut.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Dosen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Mahasiswa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FE436E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Analisis Risiko Potensi Ketidakberpihakan Personil</w:t>
      </w:r>
    </w:p>
    <w:p w:rsidR="00FE436E" w:rsidRPr="00FE436E" w:rsidRDefault="00FE436E" w:rsidP="00FE436E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W w:w="13746" w:type="dxa"/>
        <w:tblInd w:w="-998" w:type="dxa"/>
        <w:tblLook w:val="04A0" w:firstRow="1" w:lastRow="0" w:firstColumn="1" w:lastColumn="0" w:noHBand="0" w:noVBand="1"/>
      </w:tblPr>
      <w:tblGrid>
        <w:gridCol w:w="580"/>
        <w:gridCol w:w="2676"/>
        <w:gridCol w:w="3572"/>
        <w:gridCol w:w="3516"/>
        <w:gridCol w:w="3402"/>
      </w:tblGrid>
      <w:tr w:rsidR="00FE436E" w:rsidRPr="00FE436E" w:rsidTr="00FE436E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Personil/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Sumber Risiko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Potensi Risiko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Dampak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Tindakan</w:t>
            </w:r>
          </w:p>
        </w:tc>
      </w:tr>
      <w:tr w:rsidR="00FE436E" w:rsidRPr="00FE436E" w:rsidTr="00FE436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Pranata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Prasangka Terhadap Sikap Pelanggan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lebih positif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/ negatif pada pelanggan tertentu.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Bersikap netral terhadap sikap pelanggan dan tetap memberikan pelayanan terbaik.</w:t>
            </w:r>
          </w:p>
        </w:tc>
      </w:tr>
      <w:tr w:rsidR="00FE436E" w:rsidRPr="00FE436E" w:rsidTr="00FE436E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Kepala Laboratorium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Preferensi terhadap fakultas/ prodi/ atau individu tertentu.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Kepentingan lembaga/ individu tertentu diutamakan daripada lainnya.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PLP tetap bersikap netral.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Mengingatkan atasan dengan sikap netral dan tidak berpihak.</w:t>
            </w:r>
          </w:p>
        </w:tc>
      </w:tr>
      <w:tr w:rsidR="00FE436E" w:rsidRPr="00FE436E" w:rsidTr="00FE436E">
        <w:trPr>
          <w:trHeight w:val="15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Dosen Peneliti/ Pengampu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4173" w:rsidRPr="00BA4173" w:rsidRDefault="00FE436E" w:rsidP="00BA417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Ingin diutamakan</w:t>
            </w:r>
          </w:p>
          <w:p w:rsidR="00BA4173" w:rsidRDefault="00FE436E" w:rsidP="00BA417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Mengubah jadwal secara sepihak.</w:t>
            </w:r>
          </w:p>
          <w:p w:rsidR="00FE436E" w:rsidRPr="00BA4173" w:rsidRDefault="00FE436E" w:rsidP="00BA417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 w:rsidRPr="00BA4173">
              <w:rPr>
                <w:rFonts w:ascii="Times New Roman" w:eastAsia="Times New Roman" w:hAnsi="Times New Roman" w:cs="Times New Roman"/>
                <w:color w:val="000000"/>
              </w:rPr>
              <w:t>Merasa lebih memiliki daripada pihak eksternal.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Jadwal Praktikum &amp; Pekerjaan lain berbenturan.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Penggunaan laboratorium tidak profesional.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E436E">
              <w:rPr>
                <w:rFonts w:ascii="Times New Roman" w:eastAsia="Times New Roman" w:hAnsi="Times New Roman" w:cs="Times New Roman"/>
                <w:color w:val="000000"/>
              </w:rPr>
              <w:t>1. Penegasan SOP penggunaan lab.</w:t>
            </w:r>
            <w:r w:rsidRPr="00FE436E">
              <w:rPr>
                <w:rFonts w:ascii="Times New Roman" w:eastAsia="Times New Roman" w:hAnsi="Times New Roman" w:cs="Times New Roman"/>
                <w:color w:val="000000"/>
              </w:rPr>
              <w:br/>
              <w:t>2. Diskusi/ Sosialisasi terbuka tentang prosedur, bahan, dan penggunaan.</w:t>
            </w:r>
          </w:p>
        </w:tc>
      </w:tr>
      <w:tr w:rsidR="00FE436E" w:rsidRPr="00FE436E" w:rsidTr="00FE436E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Asisten Praktikum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Default="00923574" w:rsidP="00FB1EC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Hubungan k</w:t>
            </w:r>
            <w:r w:rsidR="00FE436E">
              <w:rPr>
                <w:rFonts w:ascii="Times New Roman" w:eastAsia="Times New Roman" w:hAnsi="Times New Roman" w:cs="Times New Roman"/>
                <w:color w:val="000000"/>
              </w:rPr>
              <w:t>edekatan terhadap praktikan</w:t>
            </w:r>
          </w:p>
          <w:p w:rsidR="00FE436E" w:rsidRPr="00FE436E" w:rsidRDefault="00BA4173" w:rsidP="00FB1EC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Kurang kompeten terhadap penggunaan peralatan laboratorium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656258" w:rsidRDefault="0054693F" w:rsidP="0065625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 w:rsidRPr="00656258">
              <w:rPr>
                <w:rFonts w:ascii="Times New Roman" w:eastAsia="Times New Roman" w:hAnsi="Times New Roman" w:cs="Times New Roman"/>
                <w:color w:val="000000"/>
              </w:rPr>
              <w:t xml:space="preserve">Pelayanan praktikum </w:t>
            </w:r>
            <w:r w:rsidR="00656258" w:rsidRPr="00656258">
              <w:rPr>
                <w:rFonts w:ascii="Times New Roman" w:eastAsia="Times New Roman" w:hAnsi="Times New Roman" w:cs="Times New Roman"/>
                <w:color w:val="000000"/>
              </w:rPr>
              <w:t>tidak sama antar praktikan</w:t>
            </w:r>
          </w:p>
          <w:p w:rsidR="00656258" w:rsidRPr="00656258" w:rsidRDefault="00656258" w:rsidP="0065625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94" w:hanging="29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Beberapa praktikan merasakan ketidak adilan dalam pelayanan praktikum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36E" w:rsidRPr="00656258" w:rsidRDefault="00656258" w:rsidP="0065625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Setiap asisten menandatan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gani pakta integritas ketidak berpihakan dan diberi materai</w:t>
            </w:r>
          </w:p>
        </w:tc>
      </w:tr>
      <w:tr w:rsidR="00FE436E" w:rsidRPr="00FE436E" w:rsidTr="00FE436E">
        <w:trPr>
          <w:trHeight w:val="24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Default="00FE436E" w:rsidP="00FE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36E" w:rsidRPr="00FE436E" w:rsidRDefault="00FE436E" w:rsidP="00FE4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E436E" w:rsidRPr="00ED44A4" w:rsidRDefault="00FE436E" w:rsidP="00FE436E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sectPr w:rsidR="00FE436E" w:rsidRPr="00ED44A4" w:rsidSect="00FE436E">
      <w:pgSz w:w="15840" w:h="12240" w:orient="landscape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621" w:rsidRDefault="001E7621" w:rsidP="00035238">
      <w:pPr>
        <w:spacing w:after="0" w:line="240" w:lineRule="auto"/>
      </w:pPr>
      <w:r>
        <w:separator/>
      </w:r>
    </w:p>
  </w:endnote>
  <w:endnote w:type="continuationSeparator" w:id="0">
    <w:p w:rsidR="001E7621" w:rsidRDefault="001E7621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621" w:rsidRDefault="001E7621" w:rsidP="00035238">
      <w:pPr>
        <w:spacing w:after="0" w:line="240" w:lineRule="auto"/>
      </w:pPr>
      <w:r>
        <w:separator/>
      </w:r>
    </w:p>
  </w:footnote>
  <w:footnote w:type="continuationSeparator" w:id="0">
    <w:p w:rsidR="001E7621" w:rsidRDefault="001E7621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2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7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3"/>
  </w:num>
  <w:num w:numId="5">
    <w:abstractNumId w:val="19"/>
  </w:num>
  <w:num w:numId="6">
    <w:abstractNumId w:val="9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15"/>
  </w:num>
  <w:num w:numId="12">
    <w:abstractNumId w:val="2"/>
  </w:num>
  <w:num w:numId="13">
    <w:abstractNumId w:val="20"/>
  </w:num>
  <w:num w:numId="14">
    <w:abstractNumId w:val="16"/>
  </w:num>
  <w:num w:numId="15">
    <w:abstractNumId w:val="7"/>
  </w:num>
  <w:num w:numId="16">
    <w:abstractNumId w:val="17"/>
  </w:num>
  <w:num w:numId="17">
    <w:abstractNumId w:val="10"/>
  </w:num>
  <w:num w:numId="18">
    <w:abstractNumId w:val="23"/>
  </w:num>
  <w:num w:numId="19">
    <w:abstractNumId w:val="11"/>
  </w:num>
  <w:num w:numId="20">
    <w:abstractNumId w:val="5"/>
  </w:num>
  <w:num w:numId="21">
    <w:abstractNumId w:val="24"/>
  </w:num>
  <w:num w:numId="22">
    <w:abstractNumId w:val="14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177271"/>
    <w:rsid w:val="001E7621"/>
    <w:rsid w:val="002077C1"/>
    <w:rsid w:val="00215660"/>
    <w:rsid w:val="00230EFC"/>
    <w:rsid w:val="00275E58"/>
    <w:rsid w:val="002C74D7"/>
    <w:rsid w:val="002E4218"/>
    <w:rsid w:val="00395F8B"/>
    <w:rsid w:val="00470EFD"/>
    <w:rsid w:val="004F015C"/>
    <w:rsid w:val="0054693F"/>
    <w:rsid w:val="005A678F"/>
    <w:rsid w:val="005C7988"/>
    <w:rsid w:val="00656258"/>
    <w:rsid w:val="00695471"/>
    <w:rsid w:val="006C5D4F"/>
    <w:rsid w:val="007E461E"/>
    <w:rsid w:val="008442D3"/>
    <w:rsid w:val="00845F8A"/>
    <w:rsid w:val="008B2E47"/>
    <w:rsid w:val="008B4BBB"/>
    <w:rsid w:val="008C2189"/>
    <w:rsid w:val="008F0645"/>
    <w:rsid w:val="00923574"/>
    <w:rsid w:val="00946DD5"/>
    <w:rsid w:val="009B08CF"/>
    <w:rsid w:val="009D2E3C"/>
    <w:rsid w:val="00AA4852"/>
    <w:rsid w:val="00AD09FB"/>
    <w:rsid w:val="00B33D2D"/>
    <w:rsid w:val="00B43842"/>
    <w:rsid w:val="00BA4173"/>
    <w:rsid w:val="00BB787E"/>
    <w:rsid w:val="00BF2B3D"/>
    <w:rsid w:val="00C8350B"/>
    <w:rsid w:val="00CD1FAA"/>
    <w:rsid w:val="00D34386"/>
    <w:rsid w:val="00DD5FC3"/>
    <w:rsid w:val="00E55EE3"/>
    <w:rsid w:val="00ED44A4"/>
    <w:rsid w:val="00F107EF"/>
    <w:rsid w:val="00F66271"/>
    <w:rsid w:val="00FB1EC0"/>
    <w:rsid w:val="00FB5FAE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8A4145-C611-4CD0-A8E8-1BACB017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268</Words>
  <Characters>1655</Characters>
  <Application>Microsoft Office Word</Application>
  <DocSecurity>0</DocSecurity>
  <Lines>118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</dc:creator>
  <cp:lastModifiedBy>Windows User</cp:lastModifiedBy>
  <cp:revision>8</cp:revision>
  <dcterms:created xsi:type="dcterms:W3CDTF">2021-10-06T06:47:00Z</dcterms:created>
  <dcterms:modified xsi:type="dcterms:W3CDTF">2021-10-06T08:05:00Z</dcterms:modified>
</cp:coreProperties>
</file>