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D0089" w14:textId="2BD53A33" w:rsidR="0012547D" w:rsidRDefault="0012547D">
      <w:pPr>
        <w:pStyle w:val="FirstParagraph"/>
      </w:pPr>
      <w:r>
        <w:t>Thursday, June 11, 2026</w:t>
      </w:r>
    </w:p>
    <w:p w14:paraId="39C51C5F" w14:textId="00524711" w:rsidR="00016CF3" w:rsidRPr="0012547D" w:rsidRDefault="00000000">
      <w:pPr>
        <w:pStyle w:val="FirstParagraph"/>
        <w:rPr>
          <w:rFonts w:asciiTheme="majorEastAsia" w:eastAsiaTheme="majorEastAsia" w:hAnsiTheme="majorEastAsia" w:hint="eastAsia"/>
        </w:rPr>
      </w:pPr>
      <w:r w:rsidRPr="0012547D">
        <w:rPr>
          <w:rFonts w:asciiTheme="majorEastAsia" w:eastAsiaTheme="majorEastAsia" w:hAnsiTheme="majorEastAsia"/>
        </w:rPr>
        <w:t>BlackRock’s 2026 Gold &amp; Gold Equity Outlook argues that the structural bull case for gold remains intact despite its exceptional performance in 2025. Gold surged more than 60% during the year, surpassing US$4,000/oz and reaching numerous record highs, supported by rising government debt burdens, geopolitical tensions, currency debasement concerns, and persistent macroeconomic uncertainty. BlackRock believes these drivers are not temporary and will continue to underpin investor demand for gold in 2026.</w:t>
      </w:r>
    </w:p>
    <w:p w14:paraId="59DE3F6D" w14:textId="77777777" w:rsidR="00016CF3" w:rsidRPr="0012547D" w:rsidRDefault="00000000">
      <w:pPr>
        <w:pStyle w:val="a0"/>
        <w:rPr>
          <w:rFonts w:asciiTheme="majorEastAsia" w:eastAsiaTheme="majorEastAsia" w:hAnsiTheme="majorEastAsia" w:hint="eastAsia"/>
        </w:rPr>
      </w:pPr>
      <w:r w:rsidRPr="0012547D">
        <w:rPr>
          <w:rFonts w:asciiTheme="majorEastAsia" w:eastAsiaTheme="majorEastAsia" w:hAnsiTheme="majorEastAsia"/>
        </w:rPr>
        <w:t>A key theme is the growing “currency aversion” trade, as investors seek protection against the long-term erosion of fiat currency value caused by unsustainable fiscal deficits and expanding public debt. Central bank demand remains another important pillar of support. Although purchases moderated from recent peak levels, reserve accumulation stayed historically strong, with most central banks expecting global gold holdings to increase further.</w:t>
      </w:r>
    </w:p>
    <w:p w14:paraId="3E342D69" w14:textId="77777777" w:rsidR="00016CF3" w:rsidRDefault="00000000">
      <w:pPr>
        <w:pStyle w:val="a0"/>
        <w:rPr>
          <w:rFonts w:asciiTheme="majorEastAsia" w:eastAsiaTheme="majorEastAsia" w:hAnsiTheme="majorEastAsia"/>
        </w:rPr>
      </w:pPr>
      <w:r w:rsidRPr="0012547D">
        <w:rPr>
          <w:rFonts w:asciiTheme="majorEastAsia" w:eastAsiaTheme="majorEastAsia" w:hAnsiTheme="majorEastAsia"/>
        </w:rPr>
        <w:t>The report is particularly constructive on gold equities. Gold mining stocks significantly outperformed in 2025, benefiting from higher gold prices, relatively contained cost inflation, and improved capital discipline. However, BlackRock expects 2026 performance dispersion among miners to be driven less by gold-price sensitivity and more by company-specific factors such as capital allocation, growth strategy, operational execution, and cost control. As a result, the firm believes active, fundamental stock selection will become increasingly important, while gold equities remain attractively valued relative to the broader equity market.</w:t>
      </w:r>
    </w:p>
    <w:p w14:paraId="74829E70" w14:textId="77777777" w:rsidR="0030183A" w:rsidRDefault="0030183A">
      <w:pPr>
        <w:pStyle w:val="a0"/>
        <w:rPr>
          <w:rFonts w:asciiTheme="majorEastAsia" w:eastAsiaTheme="majorEastAsia" w:hAnsiTheme="majorEastAsia"/>
          <w:lang w:eastAsia="zh-CN"/>
        </w:rPr>
      </w:pPr>
    </w:p>
    <w:p w14:paraId="2CE486FE" w14:textId="561B8228" w:rsidR="0030183A" w:rsidRDefault="0030183A">
      <w:pPr>
        <w:pStyle w:val="a0"/>
        <w:rPr>
          <w:rFonts w:asciiTheme="majorEastAsia" w:eastAsiaTheme="majorEastAsia" w:hAnsiTheme="majorEastAsia"/>
          <w:lang w:eastAsia="zh-CN"/>
        </w:rPr>
      </w:pPr>
      <w:r>
        <w:rPr>
          <w:rFonts w:asciiTheme="majorEastAsia" w:eastAsiaTheme="majorEastAsia" w:hAnsiTheme="majorEastAsia" w:hint="eastAsia"/>
          <w:lang w:eastAsia="zh-CN"/>
        </w:rPr>
        <w:t>Monday, June 15, 2026</w:t>
      </w:r>
    </w:p>
    <w:p w14:paraId="5A89745D" w14:textId="77777777" w:rsidR="0030183A" w:rsidRPr="0030183A" w:rsidRDefault="0030183A" w:rsidP="0030183A">
      <w:pPr>
        <w:pStyle w:val="a0"/>
        <w:rPr>
          <w:rFonts w:asciiTheme="majorEastAsia" w:eastAsiaTheme="majorEastAsia" w:hAnsiTheme="majorEastAsia"/>
          <w:lang w:eastAsia="zh-CN"/>
        </w:rPr>
      </w:pPr>
      <w:r w:rsidRPr="0030183A">
        <w:rPr>
          <w:rFonts w:asciiTheme="majorEastAsia" w:eastAsiaTheme="majorEastAsia" w:hAnsiTheme="majorEastAsia"/>
          <w:lang w:eastAsia="zh-CN"/>
        </w:rPr>
        <w:t>Thursday's market rebound was another reminder that the "buy-the-dip" mentality remains deeply embedded in investor behavior. After several days of weakness in technology and AI-related stocks, buyers quickly stepped in, helping major U.S. equity indices recover despite lingering concerns about inflation and geopolitical tensions. The resilience of risk appetite suggests that investors continue to view market pullbacks as opportunities rather than warning signs.</w:t>
      </w:r>
    </w:p>
    <w:p w14:paraId="6641F544" w14:textId="77777777" w:rsidR="0030183A" w:rsidRPr="0030183A" w:rsidRDefault="0030183A" w:rsidP="0030183A">
      <w:pPr>
        <w:pStyle w:val="a0"/>
        <w:rPr>
          <w:rFonts w:asciiTheme="majorEastAsia" w:eastAsiaTheme="majorEastAsia" w:hAnsiTheme="majorEastAsia"/>
          <w:lang w:eastAsia="zh-CN"/>
        </w:rPr>
      </w:pPr>
      <w:r w:rsidRPr="0030183A">
        <w:rPr>
          <w:rFonts w:asciiTheme="majorEastAsia" w:eastAsiaTheme="majorEastAsia" w:hAnsiTheme="majorEastAsia"/>
          <w:lang w:eastAsia="zh-CN"/>
        </w:rPr>
        <w:t>Beneath the surface, however, the outlook is becoming more complicated. Optimists point to a still-supportive earnings environment, improving IPO activity, and the ability of equities to absorb negative headlines without suffering a deeper correction. Recent enthusiasm surrounding large listings such as SpaceX further reinforces the view that capital markets remain healthy and investor demand remains strong.</w:t>
      </w:r>
    </w:p>
    <w:p w14:paraId="0B6B179C" w14:textId="77777777" w:rsidR="0030183A" w:rsidRPr="0030183A" w:rsidRDefault="0030183A" w:rsidP="0030183A">
      <w:pPr>
        <w:pStyle w:val="a0"/>
        <w:rPr>
          <w:rFonts w:asciiTheme="majorEastAsia" w:eastAsiaTheme="majorEastAsia" w:hAnsiTheme="majorEastAsia"/>
          <w:lang w:eastAsia="zh-CN"/>
        </w:rPr>
      </w:pPr>
      <w:r w:rsidRPr="0030183A">
        <w:rPr>
          <w:rFonts w:asciiTheme="majorEastAsia" w:eastAsiaTheme="majorEastAsia" w:hAnsiTheme="majorEastAsia"/>
          <w:lang w:eastAsia="zh-CN"/>
        </w:rPr>
        <w:lastRenderedPageBreak/>
        <w:t>At the same time, there are signs that sentiment is becoming more cautious. Surveys show increasing skepticism toward AI-related valuations, while concerns about inflationary pressures linked to energy markets and geopolitical developments have not disappeared. Investors may be underestimating the possibility that the Federal Reserve adopts a more hawkish tone if inflation proves persistent.</w:t>
      </w:r>
    </w:p>
    <w:p w14:paraId="26757059" w14:textId="77777777" w:rsidR="0030183A" w:rsidRPr="0030183A" w:rsidRDefault="0030183A" w:rsidP="0030183A">
      <w:pPr>
        <w:pStyle w:val="a0"/>
        <w:rPr>
          <w:rFonts w:asciiTheme="majorEastAsia" w:eastAsiaTheme="majorEastAsia" w:hAnsiTheme="majorEastAsia"/>
          <w:lang w:eastAsia="zh-CN"/>
        </w:rPr>
      </w:pPr>
      <w:r w:rsidRPr="0030183A">
        <w:rPr>
          <w:rFonts w:asciiTheme="majorEastAsia" w:eastAsiaTheme="majorEastAsia" w:hAnsiTheme="majorEastAsia"/>
          <w:lang w:eastAsia="zh-CN"/>
        </w:rPr>
        <w:t xml:space="preserve">Ultimately, the key question is whether strong market momentum can continue once investors shift their attention from buying the dip to evaluating the Fed's next policy signal. The rebound is encouraging, but next week's Fed meeting may prove to be the </w:t>
      </w:r>
      <w:proofErr w:type="gramStart"/>
      <w:r w:rsidRPr="0030183A">
        <w:rPr>
          <w:rFonts w:asciiTheme="majorEastAsia" w:eastAsiaTheme="majorEastAsia" w:hAnsiTheme="majorEastAsia"/>
          <w:lang w:eastAsia="zh-CN"/>
        </w:rPr>
        <w:t>more</w:t>
      </w:r>
      <w:proofErr w:type="gramEnd"/>
      <w:r w:rsidRPr="0030183A">
        <w:rPr>
          <w:rFonts w:asciiTheme="majorEastAsia" w:eastAsiaTheme="majorEastAsia" w:hAnsiTheme="majorEastAsia"/>
          <w:lang w:eastAsia="zh-CN"/>
        </w:rPr>
        <w:t xml:space="preserve"> important test for risk assets.</w:t>
      </w:r>
    </w:p>
    <w:p w14:paraId="28D832AE" w14:textId="77777777" w:rsidR="0030183A" w:rsidRPr="0030183A" w:rsidRDefault="0030183A">
      <w:pPr>
        <w:pStyle w:val="a0"/>
        <w:rPr>
          <w:rFonts w:asciiTheme="majorEastAsia" w:eastAsiaTheme="majorEastAsia" w:hAnsiTheme="majorEastAsia" w:hint="eastAsia"/>
          <w:lang w:eastAsia="zh-CN"/>
        </w:rPr>
      </w:pPr>
    </w:p>
    <w:sectPr w:rsidR="0030183A" w:rsidRPr="0030183A">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E8CE6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16553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16CF3"/>
    <w:rsid w:val="00016CF3"/>
    <w:rsid w:val="0012547D"/>
    <w:rsid w:val="0030183A"/>
    <w:rsid w:val="004517C8"/>
    <w:rsid w:val="00B32D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924448"/>
  <w15:docId w15:val="{B1C8CD28-16D7-4195-930F-3E3F693DA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439</Words>
  <Characters>2770</Characters>
  <Application>Microsoft Office Word</Application>
  <DocSecurity>0</DocSecurity>
  <Lines>43</Lines>
  <Paragraphs>9</Paragraphs>
  <ScaleCrop>false</ScaleCrop>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Bohan Zhang</cp:lastModifiedBy>
  <cp:revision>3</cp:revision>
  <dcterms:created xsi:type="dcterms:W3CDTF">2026-06-11T00:51:00Z</dcterms:created>
  <dcterms:modified xsi:type="dcterms:W3CDTF">2026-06-15T04:48:00Z</dcterms:modified>
</cp:coreProperties>
</file>