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Changements Batra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Supprimer “inactif” car </w:t>
      </w:r>
      <w:r w:rsidDel="00000000" w:rsidR="00000000" w:rsidRPr="00000000">
        <w:rPr>
          <w:b w:val="1"/>
          <w:color w:val="222222"/>
          <w:rtl w:val="0"/>
        </w:rPr>
        <w:t xml:space="preserve">le consommateur risque de ne pas faire la différence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265"/>
        <w:tblGridChange w:id="0">
          <w:tblGrid>
            <w:gridCol w:w="1245"/>
            <w:gridCol w:w="2265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Inactif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1,4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Sédentaire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1,6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Modérément actif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Actif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Très actif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Extrêmement actif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Calculs BMR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  <w:t xml:space="preserve">Dans BMR : </w:t>
      </w:r>
      <w:r w:rsidDel="00000000" w:rsidR="00000000" w:rsidRPr="00000000">
        <w:rPr>
          <w:color w:val="50005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supprimer “dont sucres” (certainement pas à 10% car uniquement sucres ajoutés) et “dont amidon” (dont amidon n’apparait pas dans le RE 1169/2011)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document.getElementById("ENER-Best").innerHTML = Math.round(BMRActivity);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document.getElementById("FATBest").innerHTML = Math.round(BMRActivity / 9 / 100 * 35);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document.getElementById("FASATBest").innerHTML = Math.round(BMRActivity / 9 / 10);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document.getElementById("PRO-Best").innerHTML = Math.round(BMRActivity / 4 /  100 *15);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color w:val="ff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color w:val="ff0000"/>
          <w:highlight w:val="white"/>
          <w:rtl w:val="0"/>
        </w:rPr>
        <w:t xml:space="preserve">document.getElementById("SUGAR-Best").innerHTML = Math.round(BMRActivity / 4 / 10);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            document.getElementById("STARCHBest").innerHTML = Math.round(BMRActivity / 4 / 100 * 55) - Math.round(BMRActivity / 4 / 10);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document.getElementById("CHOAVLBest_high").innerHTML = Math.round(BMRActivity / 4 / 100 * 50);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Alertes sur base des valeurs nutri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Pour le sel : il faut juste mettre "</w:t>
      </w:r>
      <w:r w:rsidDel="00000000" w:rsidR="00000000" w:rsidRPr="00000000">
        <w:rPr>
          <w:color w:val="ff0000"/>
          <w:rtl w:val="0"/>
        </w:rPr>
        <w:t xml:space="preserve">Sel"</w:t>
      </w:r>
      <w:r w:rsidDel="00000000" w:rsidR="00000000" w:rsidRPr="00000000">
        <w:rPr>
          <w:rtl w:val="0"/>
        </w:rPr>
        <w:t xml:space="preserve"> et non "équivalent de sel". 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Liste ingrédients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Est-ce normal que la liste se mette parfois en anglais ?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Alertes nutritionnels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Pour prévenir des alertes, vous avez pensé à faire un pop-up automatique ? car là il faut cliquer sur les paramètres en rouge pour savoir ce qui ne va pas dans le produit.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Est-ce que ce serait possible de pouvoir zoomer sur les alertes ? car pour les allergènes c’est tellement petit qu’on ne voit pas duquel il s’agit.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Est-ce que quand on introduit une nouvelle alerte il faut réinitialiser ces paramètres ? Ou cela prend en compte les nouvelles alertes automatiquement ?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J’ai remarqué que lorsqu’on encode des alertes, et qu’on regarde ensuite le point rouge, il y en a d’autres qui se mettent automatiquement. 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 : trop de glucides, Or je n’ai pas encoder trop de glucides 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Je t’explique comment j’ai fait :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Je réinitialise mes paramètres et j’encode 2 alertes énergie 310kcal et 3g de sel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238693" cy="4875047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93" cy="487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Je retourne dans mes alertes et là il y a fibres qui s’active tout seul…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144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340764" cy="506698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764" cy="5066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Je scan un paquet de chips. Quand je regarde les alertes, il est mis “trop riche en glucides”. Or je n’ai pas activé glucides. J’ai fait plusieurs tests, parfois il y a trop de graisses sans que je l’active… Est-ce qu’il y a des valeurs par défaut ? 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924492" cy="633903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492" cy="633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u w:val="single"/>
          <w:rtl w:val="0"/>
        </w:rPr>
        <w:t xml:space="preserve">Pour info 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les chiffres se basent sur la reglementation europééene sur l'etiquetage INCO1169-2011 vu qu'on affiche des etiquette alimentaire 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55cc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https://eur-lex.europa.eu/legal-content/FR/TXT/HTML/?uri=CELEX:32011R1169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</w:rPr>
        <w:drawing>
          <wp:inline distB="114300" distT="114300" distL="114300" distR="114300">
            <wp:extent cx="576041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705475" cy="2438076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37381" l="0" r="1068" t="598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3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760410" cy="3530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im" w:customStyle="1">
    <w:name w:val="im"/>
    <w:basedOn w:val="Policepardfaut"/>
    <w:rsid w:val="0065421C"/>
  </w:style>
  <w:style w:type="paragraph" w:styleId="Paragraphedeliste">
    <w:name w:val="List Paragraph"/>
    <w:basedOn w:val="Normal"/>
    <w:uiPriority w:val="34"/>
    <w:qFormat w:val="1"/>
    <w:rsid w:val="00C521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eur-lex.europa.eu/legal-content/FR/TXT/HTML/?uri=CELEX:32011R1169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6uBEFx9WZgCQdpQqQJUOqJurw==">CgMxLjA4AHIhMWlUMkdkYnc3dkh5YmRZYTlubklreDJBLTJXWkV6RkVw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2023-10-21T10:01:00Z</dcterms:created>
  <dc:creator>Hélène Mambourg</dc:creator>
</cp:coreProperties>
</file>