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0.xml" ContentType="application/vnd.openxmlformats-officedocument.wordprocessingml.header+xml"/>
  <Override PartName="/word/footer1.xml" ContentType="application/vnd.openxmlformats-officedocument.wordprocessingml.footer+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spacing w:after="200"/>
      </w:pPr>
      <w:r>
        <w:rPr>
          <w:lang w:val="fr-FR"/>
          <w:rFonts w:ascii="Times New Roman" w:cs="Times New Roman" w:hAnsi="Times New Roman"/>
          <w:sz w:val="24"/>
          <w:color w:val="000000"/>
        </w:rPr>
        <w:t xml:space="preserve">Eodem tempore etiam Hymetii praeclarae indolis viri negotium est actitatum, cuius hunc novimus esse textum. cum Africam pro consule regeret Carthaginiensibus victus inopia iam lassatis, ex horreis Romano populo destinatis frumentum dedit, pauloque postea cum provenisset segetum copia, integre sine ulla restituit mora.</w:t>
      </w:r>
    </w:p>
    <w:p>
      <w:pPr>
        <w:jc w:val="left"/>
        <w:ind w:firstLine="0"/>
        <w:spacing w:after="200"/>
        <w:spacing w:before="0"/>
        <w:spacing w:line="240" w:lineRule="auto"/>
      </w:pPr>
      <w:r>
        <w:rPr>
          <w:lang w:val="fr-FR"/>
          <w:rFonts w:ascii="Times New Roman" w:cs="Times New Roman" w:hAnsi="Times New Roman"/>
          <w:sz w:val="24"/>
        </w:rPr>
        <w:t xml:space="preserve">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pPr>
        <w:jc w:val="left"/>
        <w:ind w:firstLine="0"/>
        <w:spacing w:after="200"/>
        <w:spacing w:before="0"/>
        <w:spacing w:line="240" w:lineRule="auto"/>
      </w:pPr>
      <w:r>
        <w:rPr>
          <w:lang w:val="fr-FR"/>
          <w:rFonts w:ascii="Times New Roman" w:cs="Times New Roman" w:hAnsi="Times New Roman"/>
          <w:sz w:val="24"/>
        </w:rPr>
        <w:t xml:space="preserve">Iam in altera philosophiae parte. quae est quaerendi ac disserendi, quae logikh dicitur, iste vester plane, ut mihi quidem videtur, inermis ac nudus est. tollit definitiones, nihil de dividendo ac partiendo docet, non quo ${lastname} modo efficiatur concludaturque ratio tradit, non qua via captiosa solvantur ambigua distinguantur ostendit; iudicia rerum in sensibus ponit, quibus si semel aliquid falsi pro vero probatum sit, sublatum esse omne iudicium veri et falsi putat.</w:t>
      </w:r>
    </w:p>
    <w:p>
      <w:pPr>
        <w:pStyle w:val="Numbered Heading 1"/>
        <w:jc w:val="left"/>
        <w:ind w:firstLine="0"/>
        <w:spacing w:after="60"/>
        <w:spacing w:before="440"/>
        <w:spacing w:line="240" w:lineRule="auto"/>
      </w:pPr>
      <w:r>
        <w:rPr>
          <w:lang w:val="fr-FR"/>
          <w:rFonts w:ascii="Liberation Sans" w:cs="Liberation Sans" w:hAnsi="Liberation Sans"/>
          <w:b/>
          <w:sz w:val="34"/>
        </w:rPr>
        <w:t xml:space="preserve">Title</w:t>
      </w:r>
    </w:p>
    <w:p>
      <w:pPr/>
      <w:r>
        <w:rPr>
          <w:lang w:val="fr-FR"/>
        </w:rPr>
        <w:t xml:space="preserve">Dein Syria per speciosam interpatet diffusa planitiem. hanc nobilitat Antiochia, mundo cognita civitas, cui non certaverit alia advecticiis ita adfluere copiis et internis, et Laodicia et Apamia itidemque Seleucia iam inde a primis auspiciis florentissimae.</w:t>
      </w:r>
    </w:p>
    <w:p>
      <w:pPr>
        <w:pStyle w:val="Numbered Heading 2"/>
        <w:jc w:val="left"/>
        <w:ind w:firstLine="0"/>
        <w:spacing w:after="60"/>
        <w:spacing w:before="440"/>
        <w:spacing w:line="240" w:lineRule="auto"/>
      </w:pPr>
      <w:r>
        <w:rPr>
          <w:lang w:val="fr-FR"/>
          <w:rFonts w:ascii="Liberation Sans" w:cs="Liberation Sans" w:hAnsi="Liberation Sans"/>
          <w:b/>
          <w:sz w:val="28"/>
        </w:rPr>
        <w:t xml:space="preserve">Another Title</w:t>
      </w:r>
    </w:p>
    <w:p>
      <w:pPr/>
      <w:r>
        <w:rPr>
          <w:lang w:val="fr-FR"/>
        </w:rPr>
        <w:t xml:space="preserve">Ideoque fertur neminem aliquando ob haec vel similia poenae addictum oblato de more elogio revocari iussisse, quod inexorabiles quoque principes factitarunt. et exitiale hoc vitium, quod in aliis non numquam intepescit, ${lastname}in illo aetatis progressu effervescebat, obstinatum eius propositum accendente adulatorum cohorte.</w:t>
      </w:r>
    </w:p>
    <w:p>
      <w:pPr/>
      <w:r>
        <w:rPr>
          <w:lang w:val="fr-FR"/>
        </w:rPr>
        <w:t xml:space="preserve">Quid? qui se etiam nunc subsidiis patrimonii aut amicorum liberalitate sustentant, hos perire patiemur? An, si qui frui publico non potuit per hostem, hic tegitur ipsa lege censoria; quem is frui non sinit, qui est, etiamsi non appellatur, hostis, huic ferri auxilium non oportet? Retinete igitur in provincia diutius eum, qui de sociis cum hostibus, de civibus cum sociis faciat pactiones, qui hoc etiam se pluris esse quam collegam putet, quod ille vos tristia voltuque deceperit, ipse numquam se minus quam erat, nequam esse simularit. Piso autem alio quodam modo gloriatur se brevi tempore ${birth_city} perfecisse, ne Gabinius unus omnium nequissimus existimaretur.</w:t>
      </w:r>
    </w:p>
    <w:p>
      <w:pPr/>
      <w:r>
        <w:rPr>
          <w:lang w:val="fr-FR"/>
        </w:rPr>
        <w:t xml:space="preserve">Altera sententia est, quae definit amicitiam paribus officiis ac voluntatibus. Hoc quidem est nimis exigue et exiliter ad calculos vocare amicitiam, ut par sit ratio acceptorum et datorum. Divitior mihi et affluentior videtur esse vera amicitia nec observare restricte, ne plus reddat quam acceperit; neque enim verendum est, ne quid excidat, aut ne quid in terram defluat, aut ne plus aequo quid in amicitiam congeratur.</w:t>
      </w:r>
    </w:p>
    <w:p>
      <w:pPr/>
    </w:p>
    <w:p>
      <w:pPr>
        <w:jc w:val="left"/>
        <w:ind w:firstLine="0"/>
        <w:spacing w:after="200"/>
        <w:spacing w:before="0"/>
        <w:spacing w:line="240" w:lineRule="auto"/>
      </w:pPr>
      <w:r>
        <w:rPr>
          <w:lang w:val="fr-FR"/>
          <w:rFonts w:ascii="Times New Roman" w:cs="Times New Roman" w:hAnsi="Times New Roman"/>
          <w:sz w:val="24"/>
        </w:rPr>
        <w:t xml:space="preserve">Hac ex causa conlaticia stipe Valerius humatur ille Publicola et subsidiis amicorum mariti inops cum liberis uxor alitur Reguli et dotatur ex aerario filia Scipionis, cum nobilitas florem adultae virginis diuturnum absentia pauperis erubesceret patris.</w:t>
      </w:r>
    </w:p>
    <w:p>
      <w:pPr>
        <w:jc w:val="left"/>
        <w:ind w:firstLine="0"/>
        <w:spacing w:after="200"/>
        <w:spacing w:before="0"/>
        <w:spacing w:line="240" w:lineRule="auto"/>
      </w:pPr>
      <w:r>
        <w:rPr>
          <w:lang w:val="fr-FR"/>
          <w:rFonts w:ascii="Times New Roman" w:cs="Times New Roman" w:hAnsi="Times New Roman"/>
          <w:sz w:val="24"/>
        </w:rPr>
        <w:t xml:space="preserve">Hae duae provinciae bello quondam piratico catervis mixtae praedonum a Servilio pro consule missae sub iugum factae sunt vectigales. et hae quidem regiones velut in prominenti terrarum lingua positae ob orbe eoo monte Amano disparantur.</w:t>
      </w:r>
    </w:p>
    <w:p>
      <w:pPr>
        <w:jc w:val="left"/>
        <w:ind w:firstLine="0"/>
        <w:spacing w:after="200"/>
        <w:spacing w:before="0"/>
        <w:spacing w:line="240" w:lineRule="auto"/>
      </w:pPr>
      <w:r>
        <w:rPr>
          <w:lang w:val="fr-FR"/>
          <w:rFonts w:ascii="Times New Roman" w:cs="Times New Roman" w:hAnsi="Times New Roman"/>
          <w:sz w:val="24"/>
        </w:rPr>
        <w:t xml:space="preserve">Victus universis caro ferina est lactisque abundans copia qua sustentantur, et herbae multiplices et siquae alites capi per aucupium possint, et plerosque mos vidimus frumenti usum et vini penitus ignorantes.</w:t>
      </w:r>
    </w:p>
    <w:p>
      <w:pPr>
        <w:jc w:val="left"/>
        <w:ind w:firstLine="0"/>
        <w:spacing w:after="200"/>
        <w:spacing w:before="0"/>
        <w:spacing w:line="240" w:lineRule="auto"/>
      </w:pPr>
      <w:r>
        <w:rPr>
          <w:lang w:val="fr-FR"/>
          <w:rFonts w:ascii="Times New Roman" w:cs="Times New Roman" w:hAnsi="Times New Roman"/>
          <w:sz w:val="24"/>
        </w:rPr>
        <w:t xml:space="preserve">Coactique aliquotiens nostri pedites ad eos persequendos scandere clivos sublimes etiam si lapsantibus plantis fruticeta prensando vel dumos ad vertices venerint summos, inter arta tamen et invia nullas acies explicare permissi nec firmare nisu valido gressus: hoste discursatore rupium abscisa volvente, ruinis ponderum inmanium consternuntur, aut ex necessitate ultima fortiter dimicante, superati periculose per prona discedunt.</w:t>
      </w:r>
    </w:p>
    <w:p>
      <w:pPr>
        <w:jc w:val="left"/>
        <w:ind w:firstLine="0"/>
        <w:spacing w:after="200"/>
        <w:spacing w:before="0"/>
        <w:spacing w:line="240" w:lineRule="auto"/>
      </w:pPr>
      <w:r>
        <w:rPr>
          <w:lang w:val="fr-FR"/>
          <w:rFonts w:ascii="Times New Roman" w:cs="Times New Roman" w:hAnsi="Times New Roman"/>
          <w:sz w:val="24"/>
        </w:rPr>
        <w:t xml:space="preserve">Haec igitur prima lex amicitiae sanciatur, ut ab amicis honesta petamus, amicorum causa honesta faciamus, ne ${birthday} exspectemus quidem, dum rogemur; studium semper adsit, cunctatio absit; consilium vero dare audeamus libere. Plurimum in amicitia amicorum bene suadentium valeat auctoritas, eaque et adhibeatur ad monendum non modo aperte sed etiam acriter, si res postulabit, et adhibitae pareatur.</w:t>
      </w:r>
    </w:p>
    <w:p>
      <w:pPr>
        <w:jc w:val="left"/>
        <w:ind w:firstLine="0"/>
        <w:spacing w:after="200"/>
        <w:spacing w:before="0"/>
        <w:spacing w:line="240" w:lineRule="auto"/>
      </w:pPr>
      <w:r>
        <w:rPr>
          <w:lang w:val="fr-FR"/>
          <w:rFonts w:ascii="Times New Roman" w:cs="Times New Roman" w:hAnsi="Times New Roman"/>
          <w:sz w:val="24"/>
        </w:rPr>
        <w:t xml:space="preserve">Et quoniam mirari posse quosdam peregrinos existimo haec lecturos forsitan, si contigerit, quamobrem cum oratio ad ea monstranda deflexerit quae Romae gererentur, nihil praeter seditiones narratur et tabernas et vilitates </w:t>
      </w:r>
      <w:r>
        <w:rPr>
          <w:lang w:val="fr-FR"/>
          <w:rFonts w:ascii="Times New Roman" w:cs="Times New Roman" w:hAnsi="Times New Roman"/>
          <w:b/>
          <w:sz w:val="24"/>
        </w:rPr>
        <w:t xml:space="preserve">${lastname}</w:t>
      </w:r>
      <w:r>
        <w:rPr>
          <w:lang w:val="fr-FR"/>
          <w:rFonts w:ascii="Times New Roman" w:cs="Times New Roman" w:hAnsi="Times New Roman"/>
          <w:sz w:val="24"/>
        </w:rPr>
        <w:t xml:space="preserve">  ${firstname}harum similis alias, summatim causas perstringam nusquam a veritate sponte propria digressurus.</w:t>
      </w:r>
    </w:p>
    <w:p>
      <w:pPr>
        <w:jc w:val="left"/>
        <w:ind w:firstLine="0"/>
        <w:spacing w:after="200"/>
        <w:spacing w:before="0"/>
        <w:spacing w:line="240" w:lineRule="auto"/>
      </w:pPr>
      <w:r>
        <w:rPr>
          <w:lang w:val="fr-FR"/>
          <w:rFonts w:ascii="Times New Roman" w:cs="Times New Roman" w:hAnsi="Times New Roman"/>
          <w:sz w:val="24"/>
        </w:rPr>
        <w:t xml:space="preserve">Postremo ad id indignitatis est ventum, ut cum peregrini ob formidatam haut ita dudum alimentorum inopiam pellerentur ab urbe praecipites, sectatoribus disciplinarum liberalium inpendio paucis sine respiratione ulla extrusis, tenerentur minimarum adseclae veri, quique id simularunt ad tempus, et tria milia saltatricum ne interpellata quidem cum choris totidemque remanerent magistris.</w:t>
      </w:r>
    </w:p>
    <w:p>
      <w:pPr>
        <w:jc w:val="left"/>
        <w:ind w:firstLine="0"/>
        <w:spacing w:after="200"/>
        <w:spacing w:before="0"/>
        <w:spacing w:line="240" w:lineRule="auto"/>
      </w:pPr>
      <w:r>
        <w:rPr>
          <w:lang w:val="fr-FR"/>
          <w:rFonts w:ascii="Times New Roman" w:cs="Times New Roman" w:hAnsi="Times New Roman"/>
          <w:sz w:val="24"/>
        </w:rPr>
        <w:t xml:space="preserve">Nec piget dicere avide magis hanc insulam populum Romanum invasisse quam iuste. Ptolomaeo enim rege foederato nobis et socio ob aerarii nostri angustias iusso sine ulla culpa proscribi ideoque hausto veneno voluntaria morte deleto et tributaria facta est et velut hostiles eius exuviae classi inpositae in urbem advectae sunt per Catonem, nunc repetetur ordo gestorum.</w:t>
      </w:r>
    </w:p>
    <w:p>
      <w:pPr>
        <w:jc w:val="left"/>
        <w:ind w:firstLine="0"/>
        <w:spacing w:after="200"/>
        <w:spacing w:before="0"/>
        <w:spacing w:line="240" w:lineRule="auto"/>
      </w:pPr>
    </w:p>
    <w:p>
      <w:pPr>
        <w:jc w:val="left"/>
        <w:ind w:firstLine="0"/>
        <w:spacing w:after="200"/>
        <w:spacing w:before="0"/>
        <w:spacing w:line="240" w:lineRule="auto"/>
      </w:pPr>
    </w:p>
    <w:p>
      <w:pPr>
        <w:pStyle w:val="Numbered Heading 2"/>
        <w:jc w:val="left"/>
        <w:ind w:firstLine="0"/>
        <w:spacing w:after="200"/>
        <w:spacing w:before="0"/>
        <w:spacing w:line="240" w:lineRule="auto"/>
      </w:pPr>
    </w:p>
    <w:sectPr>
      <w:headerReference w:type="default" r:id="hId0"/>
      <w:footerReference w:type="default" r:id="fId1"/>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er1.xml><?xml version="1.0" encoding="utf-8"?>
<w:ftr xmlns:r="http://schemas.openxmlformats.org/officeDocument/2006/relationships" xmlns:w="http://schemas.openxmlformats.org/wordprocessingml/2006/main">
  <w:p>
    <w:pPr>
      <w:jc w:val="right"/>
    </w:pPr>
    <w:fldSimple w:instr="PAGE \* MERGEFORMAT">
      <w:r>
        <w:t>?</w:t>
      </w:r>
    </w:fldSimple>
  </w:p>
  <w:p>
    <w:pPr>
      <w:jc w:val="left"/>
    </w:pPr>
    <w:r>
      <w:rPr/>
      <w:t xml:space="preserve">Footer </w:t>
    </w:r>
  </w:p>
</w:ftr>
</file>

<file path=word/footnotes.xml><?xml version="1.0" encoding="utf-8"?>
<w:footnotes xmlns:w="http://schemas.openxmlformats.org/wordprocessingml/2006/main"/>
</file>

<file path=word/header0.xml><?xml version="1.0" encoding="utf-8"?>
<w:hdr xmlns:r="http://schemas.openxmlformats.org/officeDocument/2006/relationships" xmlns:w="http://schemas.openxmlformats.org/wordprocessingml/2006/main">
  <w:p>
    <w:pPr>
      <w:jc w:val="left"/>
    </w:pPr>
    <w:r>
      <w:rPr/>
      <w:t xml:space="preserve">Page Header</w:t>
    </w:r>
  </w:p>
</w:hdr>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lock Text">
    <w:name w:val="Block Text"/>
    <w:basedOn w:val="Normal"/>
    <w:pPr>
      <w:ind w:left="1440"/>
      <w:ind w:right="1440"/>
      <w:spacing w:after="120"/>
    </w:pPr>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hapter Heading">
    <w:name w:val="Chapter Heading"/>
    <w:basedOn w:val="Numbered Heading 1"/>
    <w:pPr>
      <w:ind w:firstLine="0"/>
    </w:pPr>
    <w:rPr/>
  </w:style>
  <w:style w:type="paragraph" w:styleId="Contents 1">
    <w:name w:val="Contents 1"/>
    <w:basedOn w:val="Normal"/>
    <w:pPr>
      <w:ind w:hanging="432"/>
      <w:ind w:left="720"/>
    </w:pPr>
    <w:rPr/>
  </w:style>
  <w:style w:type="paragraph" w:styleId="Contents 2">
    <w:name w:val="Contents 2"/>
    <w:basedOn w:val="Normal"/>
    <w:pPr>
      <w:ind w:hanging="432"/>
      <w:ind w:left="1440"/>
    </w:pPr>
    <w:rPr/>
  </w:style>
  <w:style w:type="paragraph" w:styleId="Contents 3">
    <w:name w:val="Contents 3"/>
    <w:basedOn w:val="Normal"/>
    <w:pPr>
      <w:ind w:hanging="432"/>
      <w:ind w:left="2160"/>
    </w:pPr>
    <w:rPr/>
  </w:style>
  <w:style w:type="paragraph" w:styleId="Contents 4">
    <w:name w:val="Contents 4"/>
    <w:basedOn w:val="Normal"/>
    <w:pPr>
      <w:ind w:hanging="432"/>
      <w:ind w:left="2880"/>
    </w:pPr>
    <w:rPr/>
  </w:style>
  <w:style w:type="paragraph" w:styleId="Contents Header">
    <w:name w:val="Contents Header"/>
    <w:basedOn w:val="Normal"/>
    <w:pPr>
      <w:jc w:val="center"/>
      <w:spacing w:after="120"/>
      <w:spacing w:before="240"/>
    </w:pPr>
    <w:rPr>
      <w:b/>
      <w:sz w:val="32"/>
      <w:rFonts w:ascii="Liberation Sans" w:cs="Liberation Sans" w:hAnsi="Liberation Sans"/>
    </w:rPr>
  </w:style>
  <w:style w:type="paragraph" w:styleId="Dashed List">
    <w:name w:val="Dashed List"/>
    <w:basedOn w:val="Normal"/>
    <w:pPr>
      <w:ind w:hanging="432"/>
      <w:ind w:left="720"/>
    </w:pPr>
    <w:rPr/>
  </w:style>
  <w:style w:type="paragraph" w:styleId="Diamond List">
    <w:name w:val="Diamond List"/>
    <w:basedOn w:val="Normal"/>
    <w:pPr>
      <w:ind w:hanging="432"/>
      <w:ind w:left="720"/>
    </w:pPr>
    <w:rPr/>
  </w:style>
  <w:style w:type="paragraph" w:styleId="Endnote">
    <w:name w:val="Endnote"/>
    <w:basedOn w:val="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basedOn w:val="Normal"/>
    <w:pPr/>
    <w:rPr>
      <w:sz w:val="20"/>
      <w:vertAlign w:val="superscript"/>
    </w:rPr>
  </w:style>
  <w:style w:type="paragraph" w:styleId="Footnote Text">
    <w:name w:val="Footnote Text"/>
    <w:basedOn w:val="Normal"/>
    <w:pPr/>
    <w:rPr>
      <w:sz w:val="20"/>
    </w:rPr>
  </w:style>
  <w:style w:type="paragraph" w:styleId="Hand List">
    <w:name w:val="Hand List"/>
    <w:basedOn w:val="Normal"/>
    <w:pPr>
      <w:ind w:hanging="432"/>
      <w:ind w:left="720"/>
    </w:pPr>
    <w:rPr/>
  </w:style>
  <w:style w:type="paragraph" w:styleId="Heading 1">
    <w:name w:val="Heading 1"/>
    <w:basedOn w:val="Normal"/>
    <w:pPr>
      <w:spacing w:after="60"/>
      <w:spacing w:before="440"/>
    </w:pPr>
    <w:rPr>
      <w:b/>
      <w:sz w:val="34"/>
      <w:rFonts w:ascii="Liberation Sans" w:cs="Liberation Sans" w:hAnsi="Liberation Sans"/>
    </w:rPr>
  </w:style>
  <w:style w:type="paragraph" w:styleId="Heading 2">
    <w:name w:val="Heading 2"/>
    <w:basedOn w:val="Normal"/>
    <w:pPr>
      <w:spacing w:after="60"/>
      <w:spacing w:before="440"/>
    </w:pPr>
    <w:rPr>
      <w:b/>
      <w:sz w:val="28"/>
      <w:rFonts w:ascii="Liberation Sans" w:cs="Liberation Sans" w:hAnsi="Liberation Sans"/>
    </w:rPr>
  </w:style>
  <w:style w:type="paragraph" w:styleId="Heading 3">
    <w:name w:val="Heading 3"/>
    <w:basedOn w:val="Normal"/>
    <w:pPr>
      <w:spacing w:after="60"/>
      <w:spacing w:before="440"/>
    </w:pPr>
    <w:rPr>
      <w:b/>
      <w:sz w:val="24"/>
      <w:rFonts w:ascii="Liberation Sans" w:cs="Liberation Sans" w:hAnsi="Liberation Sans"/>
    </w:rPr>
  </w:style>
  <w:style w:type="paragraph" w:styleId="Heading 4">
    <w:name w:val="Heading 4"/>
    <w:basedOn w:val="Normal"/>
    <w:pPr>
      <w:spacing w:after="60"/>
      <w:spacing w:before="440"/>
    </w:pPr>
    <w:rPr>
      <w:b/>
      <w:sz w:val="24"/>
      <w:rFonts w:ascii="Liberation Sans" w:cs="Liberation Sans" w:hAnsi="Liberation Sans"/>
    </w:rPr>
  </w:style>
  <w:style w:type="paragraph" w:styleId="Heart List">
    <w:name w:val="Heart List"/>
    <w:basedOn w:val="Normal"/>
    <w:pPr>
      <w:ind w:hanging="432"/>
      <w:ind w:left="720"/>
    </w:pPr>
    <w:rPr/>
  </w:style>
  <w:style w:type="paragraph" w:styleId="Implies List">
    <w:name w:val="Implies List"/>
    <w:basedOn w:val="Normal"/>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jc w:val="left"/>
        <w:ind w:firstLine="0"/>
        <w:spacing w:after="0"/>
        <w:spacing w:before="0"/>
        <w:spacing w:line="240" w:lineRule="auto"/>
      </w:pPr>
    </w:pPrDefault>
    <w:rPrDefault>
      <w:rPr>
        <w:sz w:val="24"/>
        <w:rFonts w:ascii="Times New Roman" w:cs="Times New Roman" w:hAnsi="Times New Roman"/>
        <w:color w:val="000000"/>
        <w:shd w:fill="ffffff"/>
      </w:rPr>
    </w:rPrDefault>
  </w:docDefaults>
  <w:style w:type="paragraph" w:styleId="Numbered Heading 1">
    <w:name w:val="Numbered Heading 1"/>
    <w:basedOn w:val="Heading 1"/>
    <w:pPr>
      <w:ind w:firstLine="0"/>
    </w:pPr>
    <w:rPr/>
  </w:style>
  <w:style w:type="paragraph" w:styleId="Numbered Heading 2">
    <w:name w:val="Numbered Heading 2"/>
    <w:basedOn w:val="Heading 2"/>
    <w:pPr>
      <w:ind w:firstLine="0"/>
    </w:pPr>
    <w:rPr/>
  </w:style>
  <w:style w:type="paragraph" w:styleId="Numbered Heading 3">
    <w:name w:val="Numbered Heading 3"/>
    <w:basedOn w:val="Heading 3"/>
    <w:pPr>
      <w:ind w:firstLine="0"/>
    </w:pPr>
    <w:rPr/>
  </w:style>
  <w:style w:type="paragraph" w:styleId="Numbered List">
    <w:name w:val="Numbered List"/>
    <w:basedOn w:val="Normal"/>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pPr>
      <w:ind w:firstLine="0"/>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paragraph" w:styleId="Tick List">
    <w:name w:val="Tick List"/>
    <w:basedOn w:val="Normal"/>
    <w:pPr>
      <w:ind w:hanging="432"/>
      <w:ind w:left="720"/>
    </w:pPr>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hId0" Type="http://schemas.openxmlformats.org/officeDocument/2006/relationships/header" Target="header0.xml"/><Relationship Id="fId1" Type="http://schemas.openxmlformats.org/officeDocument/2006/relationships/footer" Target="footer1.xml"/></Relationships>
</file>