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5B85" w14:textId="77777777" w:rsidR="00F627C4" w:rsidRDefault="00000000">
      <w:pPr>
        <w:pStyle w:val="Heading1"/>
      </w:pPr>
      <w:bookmarkStart w:id="0" w:name="crowdfunding-project-financial-analysis"/>
      <w:r>
        <w:t>Crowdfunding Project Financial Analysis</w:t>
      </w:r>
    </w:p>
    <w:p w14:paraId="4F776ACC" w14:textId="77777777" w:rsidR="00F627C4" w:rsidRDefault="00000000">
      <w:pPr>
        <w:pStyle w:val="Heading3"/>
      </w:pPr>
      <w:bookmarkStart w:id="1" w:name="preliminary-conclusions"/>
      <w:r>
        <w:t xml:space="preserve">Preliminary conclusions </w:t>
      </w:r>
    </w:p>
    <w:p w14:paraId="334900D5" w14:textId="77777777" w:rsidR="00F627C4" w:rsidRDefault="00000000">
      <w:pPr>
        <w:pStyle w:val="FirstParagraph"/>
      </w:pPr>
      <w:r>
        <w:rPr>
          <w:i/>
          <w:iCs/>
        </w:rPr>
        <w:t>what are three conclusions we can draw about crowdfunding campaigns?</w:t>
      </w:r>
    </w:p>
    <w:p w14:paraId="12B1B45D" w14:textId="77777777" w:rsidR="00F627C4" w:rsidRDefault="00000000">
      <w:pPr>
        <w:pStyle w:val="BodyText"/>
      </w:pPr>
      <w:r>
        <w:t xml:space="preserve">Given the provided data, there are a few conclusions that one can draw from this funding platform. </w:t>
      </w:r>
    </w:p>
    <w:p w14:paraId="4661041D" w14:textId="77777777" w:rsidR="00F627C4" w:rsidRDefault="00000000">
      <w:pPr>
        <w:numPr>
          <w:ilvl w:val="0"/>
          <w:numId w:val="2"/>
        </w:numPr>
      </w:pPr>
      <w:r>
        <w:t xml:space="preserve">Theatre is the most applied for project category, but is by far the most successful - if one measures success as the times applied against the crossing "funding" goal. </w:t>
      </w:r>
    </w:p>
    <w:p w14:paraId="12E7AC72" w14:textId="77777777" w:rsidR="00F627C4" w:rsidRDefault="00000000">
      <w:pPr>
        <w:pStyle w:val="BlockText"/>
        <w:numPr>
          <w:ilvl w:val="0"/>
          <w:numId w:val="1"/>
        </w:numPr>
      </w:pPr>
      <w:r>
        <w:t xml:space="preserve"> Theatre has a 54% success rate within the last 10 years. In contrast, technology and photography have an above average success rate (over 60%) and journalism boasts a 100% success rate (with only 4 entries to the crowdfunding platform)</w:t>
      </w:r>
    </w:p>
    <w:tbl>
      <w:tblPr>
        <w:tblStyle w:val="Table"/>
        <w:tblW w:w="0" w:type="auto"/>
        <w:tblInd w:w="1482" w:type="dxa"/>
        <w:tblLook w:val="0020" w:firstRow="1" w:lastRow="0" w:firstColumn="0" w:lastColumn="0" w:noHBand="0" w:noVBand="0"/>
      </w:tblPr>
      <w:tblGrid>
        <w:gridCol w:w="1996"/>
        <w:gridCol w:w="1338"/>
        <w:gridCol w:w="1011"/>
        <w:gridCol w:w="1187"/>
        <w:gridCol w:w="878"/>
      </w:tblGrid>
      <w:tr w:rsidR="00F627C4" w:rsidRPr="00A761BB" w14:paraId="1D111422" w14:textId="77777777" w:rsidTr="00A761B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5CCF5812" w14:textId="77777777" w:rsidR="00F627C4" w:rsidRPr="00A761BB" w:rsidRDefault="00000000" w:rsidP="00A761BB">
            <w:pPr>
              <w:pStyle w:val="Compact"/>
              <w:jc w:val="center"/>
              <w:rPr>
                <w:b/>
                <w:bCs/>
              </w:rPr>
            </w:pPr>
            <w:r w:rsidRPr="00A761BB">
              <w:rPr>
                <w:b/>
                <w:bCs/>
              </w:rPr>
              <w:t>Parent Category</w:t>
            </w:r>
          </w:p>
        </w:tc>
        <w:tc>
          <w:tcPr>
            <w:tcW w:w="0" w:type="auto"/>
            <w:vAlign w:val="top"/>
          </w:tcPr>
          <w:p w14:paraId="19728F65" w14:textId="77777777" w:rsidR="00F627C4" w:rsidRPr="00A761BB" w:rsidRDefault="00000000" w:rsidP="00A761BB">
            <w:pPr>
              <w:pStyle w:val="Compact"/>
              <w:jc w:val="center"/>
              <w:rPr>
                <w:b/>
                <w:bCs/>
              </w:rPr>
            </w:pPr>
            <w:r w:rsidRPr="00A761BB">
              <w:rPr>
                <w:b/>
                <w:bCs/>
              </w:rPr>
              <w:t>successful</w:t>
            </w:r>
          </w:p>
        </w:tc>
        <w:tc>
          <w:tcPr>
            <w:tcW w:w="0" w:type="auto"/>
            <w:vAlign w:val="top"/>
          </w:tcPr>
          <w:p w14:paraId="5AF3DBE6" w14:textId="77777777" w:rsidR="00F627C4" w:rsidRPr="00A761BB" w:rsidRDefault="00000000" w:rsidP="00A761BB">
            <w:pPr>
              <w:pStyle w:val="Compact"/>
              <w:jc w:val="center"/>
              <w:rPr>
                <w:b/>
                <w:bCs/>
              </w:rPr>
            </w:pPr>
            <w:r w:rsidRPr="00A761BB">
              <w:rPr>
                <w:b/>
                <w:bCs/>
              </w:rPr>
              <w:t>failed</w:t>
            </w:r>
          </w:p>
        </w:tc>
        <w:tc>
          <w:tcPr>
            <w:tcW w:w="0" w:type="auto"/>
            <w:vAlign w:val="top"/>
          </w:tcPr>
          <w:p w14:paraId="5847E7F6" w14:textId="77777777" w:rsidR="00F627C4" w:rsidRPr="00A761BB" w:rsidRDefault="00000000" w:rsidP="00A761BB">
            <w:pPr>
              <w:pStyle w:val="Compact"/>
              <w:jc w:val="center"/>
              <w:rPr>
                <w:b/>
                <w:bCs/>
              </w:rPr>
            </w:pPr>
            <w:r w:rsidRPr="00A761BB">
              <w:rPr>
                <w:b/>
                <w:bCs/>
              </w:rPr>
              <w:t>canceled</w:t>
            </w:r>
          </w:p>
        </w:tc>
        <w:tc>
          <w:tcPr>
            <w:tcW w:w="0" w:type="auto"/>
            <w:vAlign w:val="top"/>
          </w:tcPr>
          <w:p w14:paraId="599AA74D" w14:textId="77777777" w:rsidR="00F627C4" w:rsidRPr="00A761BB" w:rsidRDefault="00000000" w:rsidP="00A761BB">
            <w:pPr>
              <w:pStyle w:val="Compact"/>
              <w:jc w:val="center"/>
              <w:rPr>
                <w:b/>
                <w:bCs/>
              </w:rPr>
            </w:pPr>
            <w:r w:rsidRPr="00A761BB">
              <w:rPr>
                <w:b/>
                <w:bCs/>
              </w:rPr>
              <w:t>live</w:t>
            </w:r>
          </w:p>
        </w:tc>
      </w:tr>
      <w:tr w:rsidR="00F627C4" w14:paraId="619E2F6A" w14:textId="77777777" w:rsidTr="00A761BB">
        <w:tc>
          <w:tcPr>
            <w:tcW w:w="0" w:type="auto"/>
          </w:tcPr>
          <w:p w14:paraId="333E2A0E" w14:textId="77777777" w:rsidR="00F627C4" w:rsidRDefault="00000000" w:rsidP="00A761BB">
            <w:pPr>
              <w:pStyle w:val="Compact"/>
              <w:jc w:val="center"/>
            </w:pPr>
            <w:r>
              <w:t>film &amp; video</w:t>
            </w:r>
          </w:p>
        </w:tc>
        <w:tc>
          <w:tcPr>
            <w:tcW w:w="0" w:type="auto"/>
          </w:tcPr>
          <w:p w14:paraId="72E01C6C" w14:textId="77777777" w:rsidR="00F627C4" w:rsidRDefault="00000000" w:rsidP="00A761BB">
            <w:pPr>
              <w:pStyle w:val="Compact"/>
              <w:jc w:val="center"/>
            </w:pPr>
            <w:r>
              <w:t>57.30%</w:t>
            </w:r>
          </w:p>
        </w:tc>
        <w:tc>
          <w:tcPr>
            <w:tcW w:w="0" w:type="auto"/>
          </w:tcPr>
          <w:p w14:paraId="1AAF4410" w14:textId="77777777" w:rsidR="00F627C4" w:rsidRDefault="00000000" w:rsidP="00A761BB">
            <w:pPr>
              <w:pStyle w:val="Compact"/>
              <w:jc w:val="center"/>
            </w:pPr>
            <w:r>
              <w:t>33.71%</w:t>
            </w:r>
          </w:p>
        </w:tc>
        <w:tc>
          <w:tcPr>
            <w:tcW w:w="0" w:type="auto"/>
          </w:tcPr>
          <w:p w14:paraId="50D2D1C9" w14:textId="77777777" w:rsidR="00F627C4" w:rsidRDefault="00000000" w:rsidP="00A761BB">
            <w:pPr>
              <w:pStyle w:val="Compact"/>
              <w:jc w:val="center"/>
            </w:pPr>
            <w:r>
              <w:t>6.18%</w:t>
            </w:r>
          </w:p>
        </w:tc>
        <w:tc>
          <w:tcPr>
            <w:tcW w:w="0" w:type="auto"/>
          </w:tcPr>
          <w:p w14:paraId="42C6D9CC" w14:textId="77777777" w:rsidR="00F627C4" w:rsidRDefault="00000000" w:rsidP="00A761BB">
            <w:pPr>
              <w:pStyle w:val="Compact"/>
              <w:jc w:val="center"/>
            </w:pPr>
            <w:r>
              <w:t>2.81%</w:t>
            </w:r>
          </w:p>
        </w:tc>
      </w:tr>
      <w:tr w:rsidR="00F627C4" w14:paraId="2A542BD6" w14:textId="77777777" w:rsidTr="00A761BB">
        <w:tc>
          <w:tcPr>
            <w:tcW w:w="0" w:type="auto"/>
          </w:tcPr>
          <w:p w14:paraId="0C8DDA37" w14:textId="77777777" w:rsidR="00F627C4" w:rsidRDefault="00000000" w:rsidP="00A761BB">
            <w:pPr>
              <w:pStyle w:val="Compact"/>
              <w:jc w:val="center"/>
            </w:pPr>
            <w:r>
              <w:t>food</w:t>
            </w:r>
          </w:p>
        </w:tc>
        <w:tc>
          <w:tcPr>
            <w:tcW w:w="0" w:type="auto"/>
          </w:tcPr>
          <w:p w14:paraId="38F92841" w14:textId="77777777" w:rsidR="00F627C4" w:rsidRDefault="00000000" w:rsidP="00A761BB">
            <w:pPr>
              <w:pStyle w:val="Compact"/>
              <w:jc w:val="center"/>
            </w:pPr>
            <w:r>
              <w:t>47.83%</w:t>
            </w:r>
          </w:p>
        </w:tc>
        <w:tc>
          <w:tcPr>
            <w:tcW w:w="0" w:type="auto"/>
          </w:tcPr>
          <w:p w14:paraId="498A08E6" w14:textId="77777777" w:rsidR="00F627C4" w:rsidRDefault="00000000" w:rsidP="00A761BB">
            <w:pPr>
              <w:pStyle w:val="Compact"/>
              <w:jc w:val="center"/>
            </w:pPr>
            <w:r>
              <w:t>43.48%</w:t>
            </w:r>
          </w:p>
        </w:tc>
        <w:tc>
          <w:tcPr>
            <w:tcW w:w="0" w:type="auto"/>
          </w:tcPr>
          <w:p w14:paraId="4F843DBD" w14:textId="77777777" w:rsidR="00F627C4" w:rsidRDefault="00000000" w:rsidP="00A761BB">
            <w:pPr>
              <w:pStyle w:val="Compact"/>
              <w:jc w:val="center"/>
            </w:pPr>
            <w:r>
              <w:t>8.70%</w:t>
            </w:r>
          </w:p>
        </w:tc>
        <w:tc>
          <w:tcPr>
            <w:tcW w:w="0" w:type="auto"/>
          </w:tcPr>
          <w:p w14:paraId="1F4161DD" w14:textId="77777777" w:rsidR="00F627C4" w:rsidRDefault="00000000" w:rsidP="00A761BB">
            <w:pPr>
              <w:pStyle w:val="Compact"/>
              <w:jc w:val="center"/>
            </w:pPr>
            <w:r>
              <w:t>0.00%</w:t>
            </w:r>
          </w:p>
        </w:tc>
      </w:tr>
      <w:tr w:rsidR="00F627C4" w14:paraId="3815756C" w14:textId="77777777" w:rsidTr="00A761BB">
        <w:tc>
          <w:tcPr>
            <w:tcW w:w="0" w:type="auto"/>
          </w:tcPr>
          <w:p w14:paraId="7A226E54" w14:textId="77777777" w:rsidR="00F627C4" w:rsidRDefault="00000000" w:rsidP="00A761BB">
            <w:pPr>
              <w:pStyle w:val="Compact"/>
              <w:jc w:val="center"/>
            </w:pPr>
            <w:r>
              <w:t>games</w:t>
            </w:r>
          </w:p>
        </w:tc>
        <w:tc>
          <w:tcPr>
            <w:tcW w:w="0" w:type="auto"/>
          </w:tcPr>
          <w:p w14:paraId="15EF988F" w14:textId="77777777" w:rsidR="00F627C4" w:rsidRDefault="00000000" w:rsidP="00A761BB">
            <w:pPr>
              <w:pStyle w:val="Compact"/>
              <w:jc w:val="center"/>
            </w:pPr>
            <w:r>
              <w:t>43.75%</w:t>
            </w:r>
          </w:p>
        </w:tc>
        <w:tc>
          <w:tcPr>
            <w:tcW w:w="0" w:type="auto"/>
          </w:tcPr>
          <w:p w14:paraId="23BC6C29" w14:textId="77777777" w:rsidR="00F627C4" w:rsidRDefault="00000000" w:rsidP="00A761BB">
            <w:pPr>
              <w:pStyle w:val="Compact"/>
              <w:jc w:val="center"/>
            </w:pPr>
            <w:r>
              <w:t>47.92%</w:t>
            </w:r>
          </w:p>
        </w:tc>
        <w:tc>
          <w:tcPr>
            <w:tcW w:w="0" w:type="auto"/>
          </w:tcPr>
          <w:p w14:paraId="0E8E1BF1" w14:textId="77777777" w:rsidR="00F627C4" w:rsidRDefault="00000000" w:rsidP="00A761BB">
            <w:pPr>
              <w:pStyle w:val="Compact"/>
              <w:jc w:val="center"/>
            </w:pPr>
            <w:r>
              <w:t>2.08%</w:t>
            </w:r>
          </w:p>
        </w:tc>
        <w:tc>
          <w:tcPr>
            <w:tcW w:w="0" w:type="auto"/>
          </w:tcPr>
          <w:p w14:paraId="7CD2A51E" w14:textId="77777777" w:rsidR="00F627C4" w:rsidRDefault="00000000" w:rsidP="00A761BB">
            <w:pPr>
              <w:pStyle w:val="Compact"/>
              <w:jc w:val="center"/>
            </w:pPr>
            <w:r>
              <w:t>6.25%</w:t>
            </w:r>
          </w:p>
        </w:tc>
      </w:tr>
      <w:tr w:rsidR="00F627C4" w14:paraId="28565575" w14:textId="77777777" w:rsidTr="00A761BB">
        <w:tc>
          <w:tcPr>
            <w:tcW w:w="0" w:type="auto"/>
          </w:tcPr>
          <w:p w14:paraId="2A467E16" w14:textId="77777777" w:rsidR="00F627C4" w:rsidRDefault="00000000" w:rsidP="00A761BB">
            <w:pPr>
              <w:pStyle w:val="Compact"/>
              <w:jc w:val="center"/>
            </w:pPr>
            <w:r>
              <w:t>journalism</w:t>
            </w:r>
          </w:p>
        </w:tc>
        <w:tc>
          <w:tcPr>
            <w:tcW w:w="0" w:type="auto"/>
          </w:tcPr>
          <w:p w14:paraId="6D5FE144" w14:textId="77777777" w:rsidR="00F627C4" w:rsidRDefault="00000000" w:rsidP="00A761BB">
            <w:pPr>
              <w:pStyle w:val="Compact"/>
              <w:jc w:val="center"/>
            </w:pPr>
            <w:r>
              <w:t>100.00%</w:t>
            </w:r>
          </w:p>
        </w:tc>
        <w:tc>
          <w:tcPr>
            <w:tcW w:w="0" w:type="auto"/>
          </w:tcPr>
          <w:p w14:paraId="1251CE4A" w14:textId="77777777" w:rsidR="00F627C4" w:rsidRDefault="00000000" w:rsidP="00A761BB">
            <w:pPr>
              <w:pStyle w:val="Compact"/>
              <w:jc w:val="center"/>
            </w:pPr>
            <w:r>
              <w:t>0.00%</w:t>
            </w:r>
          </w:p>
        </w:tc>
        <w:tc>
          <w:tcPr>
            <w:tcW w:w="0" w:type="auto"/>
          </w:tcPr>
          <w:p w14:paraId="6763A59A" w14:textId="77777777" w:rsidR="00F627C4" w:rsidRDefault="00000000" w:rsidP="00A761BB">
            <w:pPr>
              <w:pStyle w:val="Compact"/>
              <w:jc w:val="center"/>
            </w:pPr>
            <w:r>
              <w:t>0.00%</w:t>
            </w:r>
          </w:p>
        </w:tc>
        <w:tc>
          <w:tcPr>
            <w:tcW w:w="0" w:type="auto"/>
          </w:tcPr>
          <w:p w14:paraId="74D4F20A" w14:textId="77777777" w:rsidR="00F627C4" w:rsidRDefault="00000000" w:rsidP="00A761BB">
            <w:pPr>
              <w:pStyle w:val="Compact"/>
              <w:jc w:val="center"/>
            </w:pPr>
            <w:r>
              <w:t>0.00%</w:t>
            </w:r>
          </w:p>
        </w:tc>
      </w:tr>
      <w:tr w:rsidR="00F627C4" w14:paraId="58C9570A" w14:textId="77777777" w:rsidTr="00A761BB">
        <w:tc>
          <w:tcPr>
            <w:tcW w:w="0" w:type="auto"/>
          </w:tcPr>
          <w:p w14:paraId="13192BAB" w14:textId="77777777" w:rsidR="00F627C4" w:rsidRDefault="00000000" w:rsidP="00A761BB">
            <w:pPr>
              <w:pStyle w:val="Compact"/>
              <w:jc w:val="center"/>
            </w:pPr>
            <w:r>
              <w:t>music</w:t>
            </w:r>
          </w:p>
        </w:tc>
        <w:tc>
          <w:tcPr>
            <w:tcW w:w="0" w:type="auto"/>
          </w:tcPr>
          <w:p w14:paraId="47AD0182" w14:textId="77777777" w:rsidR="00F627C4" w:rsidRDefault="00000000" w:rsidP="00A761BB">
            <w:pPr>
              <w:pStyle w:val="Compact"/>
              <w:jc w:val="center"/>
            </w:pPr>
            <w:r>
              <w:t>56.57%</w:t>
            </w:r>
          </w:p>
        </w:tc>
        <w:tc>
          <w:tcPr>
            <w:tcW w:w="0" w:type="auto"/>
          </w:tcPr>
          <w:p w14:paraId="531FAF84" w14:textId="77777777" w:rsidR="00F627C4" w:rsidRDefault="00000000" w:rsidP="00A761BB">
            <w:pPr>
              <w:pStyle w:val="Compact"/>
              <w:jc w:val="center"/>
            </w:pPr>
            <w:r>
              <w:t>37.71%</w:t>
            </w:r>
          </w:p>
        </w:tc>
        <w:tc>
          <w:tcPr>
            <w:tcW w:w="0" w:type="auto"/>
          </w:tcPr>
          <w:p w14:paraId="019D4C40" w14:textId="77777777" w:rsidR="00F627C4" w:rsidRDefault="00000000" w:rsidP="00A761BB">
            <w:pPr>
              <w:pStyle w:val="Compact"/>
              <w:jc w:val="center"/>
            </w:pPr>
            <w:r>
              <w:t>5.71%</w:t>
            </w:r>
          </w:p>
        </w:tc>
        <w:tc>
          <w:tcPr>
            <w:tcW w:w="0" w:type="auto"/>
          </w:tcPr>
          <w:p w14:paraId="0A82D8F1" w14:textId="77777777" w:rsidR="00F627C4" w:rsidRDefault="00000000" w:rsidP="00A761BB">
            <w:pPr>
              <w:pStyle w:val="Compact"/>
              <w:jc w:val="center"/>
            </w:pPr>
            <w:r>
              <w:t>0.00%</w:t>
            </w:r>
          </w:p>
        </w:tc>
      </w:tr>
      <w:tr w:rsidR="00F627C4" w14:paraId="3C3DC0A3" w14:textId="77777777" w:rsidTr="00A761BB">
        <w:tc>
          <w:tcPr>
            <w:tcW w:w="0" w:type="auto"/>
          </w:tcPr>
          <w:p w14:paraId="3F1CF688" w14:textId="77777777" w:rsidR="00F627C4" w:rsidRDefault="00000000" w:rsidP="00A761BB">
            <w:pPr>
              <w:pStyle w:val="Compact"/>
              <w:jc w:val="center"/>
            </w:pPr>
            <w:r>
              <w:t>photography</w:t>
            </w:r>
          </w:p>
        </w:tc>
        <w:tc>
          <w:tcPr>
            <w:tcW w:w="0" w:type="auto"/>
          </w:tcPr>
          <w:p w14:paraId="552AA41C" w14:textId="77777777" w:rsidR="00F627C4" w:rsidRDefault="00000000" w:rsidP="00A761BB">
            <w:pPr>
              <w:pStyle w:val="Compact"/>
              <w:jc w:val="center"/>
            </w:pPr>
            <w:r>
              <w:t>61.90%</w:t>
            </w:r>
          </w:p>
        </w:tc>
        <w:tc>
          <w:tcPr>
            <w:tcW w:w="0" w:type="auto"/>
          </w:tcPr>
          <w:p w14:paraId="5FE6A4CE" w14:textId="77777777" w:rsidR="00F627C4" w:rsidRDefault="00000000" w:rsidP="00A761BB">
            <w:pPr>
              <w:pStyle w:val="Compact"/>
              <w:jc w:val="center"/>
            </w:pPr>
            <w:r>
              <w:t>26.19%</w:t>
            </w:r>
          </w:p>
        </w:tc>
        <w:tc>
          <w:tcPr>
            <w:tcW w:w="0" w:type="auto"/>
          </w:tcPr>
          <w:p w14:paraId="2E4D5C7C" w14:textId="77777777" w:rsidR="00F627C4" w:rsidRDefault="00000000" w:rsidP="00A761BB">
            <w:pPr>
              <w:pStyle w:val="Compact"/>
              <w:jc w:val="center"/>
            </w:pPr>
            <w:r>
              <w:t>9.52%</w:t>
            </w:r>
          </w:p>
        </w:tc>
        <w:tc>
          <w:tcPr>
            <w:tcW w:w="0" w:type="auto"/>
          </w:tcPr>
          <w:p w14:paraId="68E1DF3B" w14:textId="77777777" w:rsidR="00F627C4" w:rsidRDefault="00000000" w:rsidP="00A761BB">
            <w:pPr>
              <w:pStyle w:val="Compact"/>
              <w:jc w:val="center"/>
            </w:pPr>
            <w:r>
              <w:t>2.38%</w:t>
            </w:r>
          </w:p>
        </w:tc>
      </w:tr>
      <w:tr w:rsidR="00F627C4" w14:paraId="75105C90" w14:textId="77777777" w:rsidTr="00A761BB">
        <w:tc>
          <w:tcPr>
            <w:tcW w:w="0" w:type="auto"/>
          </w:tcPr>
          <w:p w14:paraId="2813FDC4" w14:textId="77777777" w:rsidR="00F627C4" w:rsidRDefault="00000000" w:rsidP="00A761BB">
            <w:pPr>
              <w:pStyle w:val="Compact"/>
              <w:jc w:val="center"/>
            </w:pPr>
            <w:r>
              <w:t>publishing</w:t>
            </w:r>
          </w:p>
        </w:tc>
        <w:tc>
          <w:tcPr>
            <w:tcW w:w="0" w:type="auto"/>
          </w:tcPr>
          <w:p w14:paraId="21FB05CC" w14:textId="77777777" w:rsidR="00F627C4" w:rsidRDefault="00000000" w:rsidP="00A761BB">
            <w:pPr>
              <w:pStyle w:val="Compact"/>
              <w:jc w:val="center"/>
            </w:pPr>
            <w:r>
              <w:t>59.70%</w:t>
            </w:r>
          </w:p>
        </w:tc>
        <w:tc>
          <w:tcPr>
            <w:tcW w:w="0" w:type="auto"/>
          </w:tcPr>
          <w:p w14:paraId="361A226D" w14:textId="77777777" w:rsidR="00F627C4" w:rsidRDefault="00000000" w:rsidP="00A761BB">
            <w:pPr>
              <w:pStyle w:val="Compact"/>
              <w:jc w:val="center"/>
            </w:pPr>
            <w:r>
              <w:t>35.82%</w:t>
            </w:r>
          </w:p>
        </w:tc>
        <w:tc>
          <w:tcPr>
            <w:tcW w:w="0" w:type="auto"/>
          </w:tcPr>
          <w:p w14:paraId="23A775BC" w14:textId="77777777" w:rsidR="00F627C4" w:rsidRDefault="00000000" w:rsidP="00A761BB">
            <w:pPr>
              <w:pStyle w:val="Compact"/>
              <w:jc w:val="center"/>
            </w:pPr>
            <w:r>
              <w:t>2.99%</w:t>
            </w:r>
          </w:p>
        </w:tc>
        <w:tc>
          <w:tcPr>
            <w:tcW w:w="0" w:type="auto"/>
          </w:tcPr>
          <w:p w14:paraId="6A5C615F" w14:textId="77777777" w:rsidR="00F627C4" w:rsidRDefault="00000000" w:rsidP="00A761BB">
            <w:pPr>
              <w:pStyle w:val="Compact"/>
              <w:jc w:val="center"/>
            </w:pPr>
            <w:r>
              <w:t>1.49%</w:t>
            </w:r>
          </w:p>
        </w:tc>
      </w:tr>
      <w:tr w:rsidR="00F627C4" w14:paraId="0D7F7668" w14:textId="77777777" w:rsidTr="00A761BB">
        <w:tc>
          <w:tcPr>
            <w:tcW w:w="0" w:type="auto"/>
          </w:tcPr>
          <w:p w14:paraId="0FBC0577" w14:textId="77777777" w:rsidR="00F627C4" w:rsidRDefault="00000000" w:rsidP="00A761BB">
            <w:pPr>
              <w:pStyle w:val="Compact"/>
              <w:jc w:val="center"/>
            </w:pPr>
            <w:r>
              <w:t>technology</w:t>
            </w:r>
          </w:p>
        </w:tc>
        <w:tc>
          <w:tcPr>
            <w:tcW w:w="0" w:type="auto"/>
          </w:tcPr>
          <w:p w14:paraId="3B2A512A" w14:textId="77777777" w:rsidR="00F627C4" w:rsidRDefault="00000000" w:rsidP="00A761BB">
            <w:pPr>
              <w:pStyle w:val="Compact"/>
              <w:jc w:val="center"/>
            </w:pPr>
            <w:r>
              <w:t>66.67%</w:t>
            </w:r>
          </w:p>
        </w:tc>
        <w:tc>
          <w:tcPr>
            <w:tcW w:w="0" w:type="auto"/>
          </w:tcPr>
          <w:p w14:paraId="6178952B" w14:textId="77777777" w:rsidR="00F627C4" w:rsidRDefault="00000000" w:rsidP="00A761BB">
            <w:pPr>
              <w:pStyle w:val="Compact"/>
              <w:jc w:val="center"/>
            </w:pPr>
            <w:r>
              <w:t>29.17%</w:t>
            </w:r>
          </w:p>
        </w:tc>
        <w:tc>
          <w:tcPr>
            <w:tcW w:w="0" w:type="auto"/>
          </w:tcPr>
          <w:p w14:paraId="69FF7573" w14:textId="77777777" w:rsidR="00F627C4" w:rsidRDefault="00000000" w:rsidP="00A761BB">
            <w:pPr>
              <w:pStyle w:val="Compact"/>
              <w:jc w:val="center"/>
            </w:pPr>
            <w:r>
              <w:t>2.08%</w:t>
            </w:r>
          </w:p>
        </w:tc>
        <w:tc>
          <w:tcPr>
            <w:tcW w:w="0" w:type="auto"/>
          </w:tcPr>
          <w:p w14:paraId="0849AD06" w14:textId="77777777" w:rsidR="00F627C4" w:rsidRDefault="00000000" w:rsidP="00A761BB">
            <w:pPr>
              <w:pStyle w:val="Compact"/>
              <w:jc w:val="center"/>
            </w:pPr>
            <w:r>
              <w:t>2.08%</w:t>
            </w:r>
          </w:p>
        </w:tc>
      </w:tr>
      <w:tr w:rsidR="00F627C4" w14:paraId="090F9295" w14:textId="77777777" w:rsidTr="00A761BB">
        <w:tc>
          <w:tcPr>
            <w:tcW w:w="0" w:type="auto"/>
          </w:tcPr>
          <w:p w14:paraId="6DEE223C" w14:textId="77777777" w:rsidR="00F627C4" w:rsidRDefault="00000000" w:rsidP="00A761BB">
            <w:pPr>
              <w:pStyle w:val="Compact"/>
              <w:jc w:val="center"/>
            </w:pPr>
            <w:r>
              <w:t>theater</w:t>
            </w:r>
          </w:p>
        </w:tc>
        <w:tc>
          <w:tcPr>
            <w:tcW w:w="0" w:type="auto"/>
          </w:tcPr>
          <w:p w14:paraId="63A44950" w14:textId="77777777" w:rsidR="00F627C4" w:rsidRDefault="00000000" w:rsidP="00A761BB">
            <w:pPr>
              <w:pStyle w:val="Compact"/>
              <w:jc w:val="center"/>
            </w:pPr>
            <w:r>
              <w:t>54.36%</w:t>
            </w:r>
          </w:p>
        </w:tc>
        <w:tc>
          <w:tcPr>
            <w:tcW w:w="0" w:type="auto"/>
          </w:tcPr>
          <w:p w14:paraId="309D6319" w14:textId="77777777" w:rsidR="00F627C4" w:rsidRDefault="00000000" w:rsidP="00A761BB">
            <w:pPr>
              <w:pStyle w:val="Compact"/>
              <w:jc w:val="center"/>
            </w:pPr>
            <w:r>
              <w:t>38.37%</w:t>
            </w:r>
          </w:p>
        </w:tc>
        <w:tc>
          <w:tcPr>
            <w:tcW w:w="0" w:type="auto"/>
          </w:tcPr>
          <w:p w14:paraId="20EF722D" w14:textId="77777777" w:rsidR="00F627C4" w:rsidRDefault="00000000" w:rsidP="00A761BB">
            <w:pPr>
              <w:pStyle w:val="Compact"/>
              <w:jc w:val="center"/>
            </w:pPr>
            <w:r>
              <w:t>6.69%</w:t>
            </w:r>
          </w:p>
        </w:tc>
        <w:tc>
          <w:tcPr>
            <w:tcW w:w="0" w:type="auto"/>
          </w:tcPr>
          <w:p w14:paraId="1CFBF5C0" w14:textId="77777777" w:rsidR="00F627C4" w:rsidRDefault="00000000" w:rsidP="00A761BB">
            <w:pPr>
              <w:pStyle w:val="Compact"/>
              <w:jc w:val="center"/>
            </w:pPr>
            <w:r>
              <w:t>0.58%</w:t>
            </w:r>
          </w:p>
        </w:tc>
      </w:tr>
      <w:tr w:rsidR="00F627C4" w14:paraId="1B1F0A30" w14:textId="77777777" w:rsidTr="00A761BB">
        <w:tc>
          <w:tcPr>
            <w:tcW w:w="0" w:type="auto"/>
          </w:tcPr>
          <w:p w14:paraId="35770AB6" w14:textId="77777777" w:rsidR="00F627C4" w:rsidRDefault="00000000" w:rsidP="00A761BB">
            <w:pPr>
              <w:pStyle w:val="Compact"/>
              <w:jc w:val="center"/>
            </w:pPr>
            <w:r>
              <w:t>Grand Total</w:t>
            </w:r>
          </w:p>
        </w:tc>
        <w:tc>
          <w:tcPr>
            <w:tcW w:w="0" w:type="auto"/>
          </w:tcPr>
          <w:p w14:paraId="32E2C4E1" w14:textId="77777777" w:rsidR="00F627C4" w:rsidRDefault="00000000" w:rsidP="00A761BB">
            <w:pPr>
              <w:pStyle w:val="Compact"/>
              <w:jc w:val="center"/>
            </w:pPr>
            <w:r>
              <w:t>56.50%</w:t>
            </w:r>
          </w:p>
        </w:tc>
        <w:tc>
          <w:tcPr>
            <w:tcW w:w="0" w:type="auto"/>
          </w:tcPr>
          <w:p w14:paraId="40A7C0A2" w14:textId="77777777" w:rsidR="00F627C4" w:rsidRDefault="00000000" w:rsidP="00A761BB">
            <w:pPr>
              <w:pStyle w:val="Compact"/>
              <w:jc w:val="center"/>
            </w:pPr>
            <w:r>
              <w:t>36.40%</w:t>
            </w:r>
          </w:p>
        </w:tc>
        <w:tc>
          <w:tcPr>
            <w:tcW w:w="0" w:type="auto"/>
          </w:tcPr>
          <w:p w14:paraId="7E95D8F8" w14:textId="77777777" w:rsidR="00F627C4" w:rsidRDefault="00000000" w:rsidP="00A761BB">
            <w:pPr>
              <w:pStyle w:val="Compact"/>
              <w:jc w:val="center"/>
            </w:pPr>
            <w:r>
              <w:t>5.70%</w:t>
            </w:r>
          </w:p>
        </w:tc>
        <w:tc>
          <w:tcPr>
            <w:tcW w:w="0" w:type="auto"/>
          </w:tcPr>
          <w:p w14:paraId="55B1A54B" w14:textId="77777777" w:rsidR="00F627C4" w:rsidRDefault="00000000" w:rsidP="00A761BB">
            <w:pPr>
              <w:pStyle w:val="Compact"/>
              <w:jc w:val="center"/>
            </w:pPr>
            <w:r>
              <w:t>1.40%</w:t>
            </w:r>
          </w:p>
        </w:tc>
      </w:tr>
      <w:tr w:rsidR="00652166" w14:paraId="6DB18B0E" w14:textId="77777777" w:rsidTr="00A761BB">
        <w:tc>
          <w:tcPr>
            <w:tcW w:w="0" w:type="auto"/>
          </w:tcPr>
          <w:p w14:paraId="10D6820C" w14:textId="77777777" w:rsidR="00652166" w:rsidRDefault="00652166">
            <w:pPr>
              <w:pStyle w:val="Compact"/>
            </w:pPr>
          </w:p>
          <w:p w14:paraId="1047B917" w14:textId="77777777" w:rsidR="00652166" w:rsidRDefault="00652166">
            <w:pPr>
              <w:pStyle w:val="Compact"/>
            </w:pPr>
          </w:p>
        </w:tc>
        <w:tc>
          <w:tcPr>
            <w:tcW w:w="0" w:type="auto"/>
          </w:tcPr>
          <w:p w14:paraId="2A9459B5" w14:textId="77777777" w:rsidR="00652166" w:rsidRDefault="00652166">
            <w:pPr>
              <w:pStyle w:val="Compact"/>
            </w:pPr>
          </w:p>
        </w:tc>
        <w:tc>
          <w:tcPr>
            <w:tcW w:w="0" w:type="auto"/>
          </w:tcPr>
          <w:p w14:paraId="184250FE" w14:textId="77777777" w:rsidR="00652166" w:rsidRDefault="00652166">
            <w:pPr>
              <w:pStyle w:val="Compact"/>
            </w:pPr>
          </w:p>
        </w:tc>
        <w:tc>
          <w:tcPr>
            <w:tcW w:w="0" w:type="auto"/>
          </w:tcPr>
          <w:p w14:paraId="4329EAC1" w14:textId="77777777" w:rsidR="00652166" w:rsidRDefault="00652166">
            <w:pPr>
              <w:pStyle w:val="Compact"/>
            </w:pPr>
          </w:p>
        </w:tc>
        <w:tc>
          <w:tcPr>
            <w:tcW w:w="0" w:type="auto"/>
          </w:tcPr>
          <w:p w14:paraId="3A1FB6B8" w14:textId="77777777" w:rsidR="00652166" w:rsidRDefault="00652166">
            <w:pPr>
              <w:pStyle w:val="Compact"/>
            </w:pPr>
          </w:p>
        </w:tc>
      </w:tr>
    </w:tbl>
    <w:p w14:paraId="4F308C99" w14:textId="77777777" w:rsidR="00F627C4" w:rsidRDefault="00000000">
      <w:pPr>
        <w:numPr>
          <w:ilvl w:val="0"/>
          <w:numId w:val="2"/>
        </w:numPr>
      </w:pPr>
      <w:r>
        <w:t>Over the 10-year period, the trend on getting a project funding mostly project downwards over the entire year, indicating that it will be hard to get funding. This could be interpreted a few ways, ie. there is strong competition or the user base taking part of the crowdfunding is limited and has particular preferences. However, there is on average and uptick of successful projects during the months of June and July. This could be the influence of summer, where school is out and families are consuming content at a faster rate, leading to crowdfunding platforms like this to have a surge in successful applications.</w:t>
      </w:r>
    </w:p>
    <w:p w14:paraId="148EB4CF" w14:textId="77777777" w:rsidR="00F627C4" w:rsidRDefault="00000000">
      <w:pPr>
        <w:pStyle w:val="FirstParagraph"/>
      </w:pPr>
      <w:r>
        <w:rPr>
          <w:noProof/>
        </w:rPr>
        <w:lastRenderedPageBreak/>
        <w:drawing>
          <wp:inline distT="0" distB="0" distL="0" distR="0" wp14:anchorId="1CB70469" wp14:editId="3430E113">
            <wp:extent cx="5334000" cy="2732664"/>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C:\Users\17138\AppData\Roaming\Typora\typora-user-images\image-20230316065755883.png"/>
                    <pic:cNvPicPr>
                      <a:picLocks noChangeAspect="1" noChangeArrowheads="1"/>
                    </pic:cNvPicPr>
                  </pic:nvPicPr>
                  <pic:blipFill>
                    <a:blip r:embed="rId7"/>
                    <a:stretch>
                      <a:fillRect/>
                    </a:stretch>
                  </pic:blipFill>
                  <pic:spPr bwMode="auto">
                    <a:xfrm>
                      <a:off x="0" y="0"/>
                      <a:ext cx="5334000" cy="2732664"/>
                    </a:xfrm>
                    <a:prstGeom prst="rect">
                      <a:avLst/>
                    </a:prstGeom>
                    <a:noFill/>
                    <a:ln w="9525">
                      <a:noFill/>
                      <a:headEnd/>
                      <a:tailEnd/>
                    </a:ln>
                  </pic:spPr>
                </pic:pic>
              </a:graphicData>
            </a:graphic>
          </wp:inline>
        </w:drawing>
      </w:r>
    </w:p>
    <w:p w14:paraId="41BB19E7" w14:textId="7CAB806B" w:rsidR="00F627C4" w:rsidRDefault="00000000">
      <w:pPr>
        <w:numPr>
          <w:ilvl w:val="0"/>
          <w:numId w:val="3"/>
        </w:numPr>
      </w:pPr>
      <w:r>
        <w:t xml:space="preserve">In terms of the platform's documented publicity of projects, it can be observed that this platform's staff and algorithm spotlight feature heavily favors theatre, </w:t>
      </w:r>
      <w:r w:rsidR="00A761BB">
        <w:t>film,</w:t>
      </w:r>
      <w:r>
        <w:t xml:space="preserve"> and music projects.</w:t>
      </w:r>
      <w:r w:rsidR="00714D37">
        <w:t xml:space="preserve"> </w:t>
      </w:r>
    </w:p>
    <w:p w14:paraId="41DD8F4E" w14:textId="32B09C45" w:rsidR="00F627C4" w:rsidRDefault="00A761BB">
      <w:pPr>
        <w:numPr>
          <w:ilvl w:val="0"/>
          <w:numId w:val="1"/>
        </w:numPr>
      </w:pPr>
      <w:r>
        <w:rPr>
          <w:noProof/>
        </w:rPr>
        <w:drawing>
          <wp:anchor distT="0" distB="0" distL="114300" distR="114300" simplePos="0" relativeHeight="251659776" behindDoc="0" locked="0" layoutInCell="1" allowOverlap="1" wp14:anchorId="2CE03ED0" wp14:editId="561BB9F5">
            <wp:simplePos x="0" y="0"/>
            <wp:positionH relativeFrom="column">
              <wp:posOffset>2872740</wp:posOffset>
            </wp:positionH>
            <wp:positionV relativeFrom="paragraph">
              <wp:posOffset>67310</wp:posOffset>
            </wp:positionV>
            <wp:extent cx="2385060" cy="2362200"/>
            <wp:effectExtent l="0" t="0" r="0" b="0"/>
            <wp:wrapSquare wrapText="bothSides"/>
            <wp:docPr id="27" name="Picture" title="fig:"/>
            <wp:cNvGraphicFramePr/>
            <a:graphic xmlns:a="http://schemas.openxmlformats.org/drawingml/2006/main">
              <a:graphicData uri="http://schemas.openxmlformats.org/drawingml/2006/picture">
                <pic:pic xmlns:pic="http://schemas.openxmlformats.org/drawingml/2006/picture">
                  <pic:nvPicPr>
                    <pic:cNvPr id="28" name="Picture" descr="C:\Users\17138\AppData\Roaming\Typora\typora-user-images\image-20230317064510846.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251" t="1706" r="1286" b="-341"/>
                    <a:stretch/>
                  </pic:blipFill>
                  <pic:spPr bwMode="auto">
                    <a:xfrm>
                      <a:off x="0" y="0"/>
                      <a:ext cx="2385060"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523760D4" wp14:editId="63568C27">
            <wp:simplePos x="0" y="0"/>
            <wp:positionH relativeFrom="column">
              <wp:posOffset>0</wp:posOffset>
            </wp:positionH>
            <wp:positionV relativeFrom="paragraph">
              <wp:posOffset>44450</wp:posOffset>
            </wp:positionV>
            <wp:extent cx="2621280" cy="2186940"/>
            <wp:effectExtent l="0" t="0" r="0" b="0"/>
            <wp:wrapSquare wrapText="bothSides"/>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C:\Users\17138\AppData\Roaming\Typora\typora-user-images\image-202303170644563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94" r="576" b="5033"/>
                    <a:stretch/>
                  </pic:blipFill>
                  <pic:spPr bwMode="auto">
                    <a:xfrm>
                      <a:off x="0" y="0"/>
                      <a:ext cx="2621280" cy="2186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CF7BC0" w14:textId="1C2781F0" w:rsidR="00F627C4" w:rsidRDefault="00F627C4">
      <w:pPr>
        <w:numPr>
          <w:ilvl w:val="0"/>
          <w:numId w:val="1"/>
        </w:numPr>
      </w:pPr>
    </w:p>
    <w:p w14:paraId="11CB5B7B" w14:textId="77777777" w:rsidR="00F627C4" w:rsidRDefault="00F627C4">
      <w:pPr>
        <w:pStyle w:val="FirstParagraph"/>
      </w:pPr>
    </w:p>
    <w:p w14:paraId="4181325C" w14:textId="77777777" w:rsidR="00652166" w:rsidRDefault="00652166">
      <w:pPr>
        <w:rPr>
          <w:rFonts w:asciiTheme="majorHAnsi" w:eastAsiaTheme="majorEastAsia" w:hAnsiTheme="majorHAnsi" w:cstheme="majorBidi"/>
          <w:b/>
          <w:bCs/>
          <w:color w:val="4F81BD" w:themeColor="accent1"/>
          <w:sz w:val="28"/>
          <w:szCs w:val="28"/>
        </w:rPr>
      </w:pPr>
      <w:bookmarkStart w:id="2" w:name="limitations-of-the-dataset"/>
      <w:bookmarkEnd w:id="1"/>
      <w:r>
        <w:br w:type="page"/>
      </w:r>
    </w:p>
    <w:p w14:paraId="1475C180" w14:textId="77777777" w:rsidR="00F627C4" w:rsidRDefault="00000000">
      <w:pPr>
        <w:pStyle w:val="Heading2"/>
      </w:pPr>
      <w:r>
        <w:lastRenderedPageBreak/>
        <w:t>Limitations of the dataset</w:t>
      </w:r>
    </w:p>
    <w:p w14:paraId="048D0952" w14:textId="77777777" w:rsidR="00F627C4" w:rsidRDefault="00000000">
      <w:pPr>
        <w:pStyle w:val="FirstParagraph"/>
      </w:pPr>
      <w:r>
        <w:rPr>
          <w:i/>
          <w:iCs/>
        </w:rPr>
        <w:t>What are some limitations of this dataset?</w:t>
      </w:r>
    </w:p>
    <w:p w14:paraId="31AB3CA5" w14:textId="77777777" w:rsidR="00F627C4" w:rsidRDefault="00000000">
      <w:pPr>
        <w:pStyle w:val="Heading4"/>
      </w:pPr>
      <w:bookmarkStart w:id="3" w:name="undefined-market-regions"/>
      <w:r>
        <w:t>Undefined Market Regions</w:t>
      </w:r>
    </w:p>
    <w:p w14:paraId="11426614" w14:textId="77777777" w:rsidR="00F627C4" w:rsidRDefault="00000000">
      <w:pPr>
        <w:pStyle w:val="FirstParagraph"/>
      </w:pPr>
      <w:r>
        <w:t xml:space="preserve">At first glance some of the limitations of this dataset have to do with the project origins. Much of the projects that have applied to the crowdfunding platform have been from the United States. However, 20% of the successful projects come from outside the US. </w:t>
      </w:r>
    </w:p>
    <w:p w14:paraId="3B52C277" w14:textId="77777777" w:rsidR="00F627C4" w:rsidRDefault="00000000">
      <w:pPr>
        <w:pStyle w:val="BodyText"/>
      </w:pPr>
      <w:r>
        <w:rPr>
          <w:noProof/>
        </w:rPr>
        <w:drawing>
          <wp:inline distT="0" distB="0" distL="0" distR="0" wp14:anchorId="0D449063" wp14:editId="1A63ED86">
            <wp:extent cx="5334000" cy="2319894"/>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C:\Users\17138\AppData\Roaming\Typora\typora-user-images\image-20230317070005548.png"/>
                    <pic:cNvPicPr>
                      <a:picLocks noChangeAspect="1" noChangeArrowheads="1"/>
                    </pic:cNvPicPr>
                  </pic:nvPicPr>
                  <pic:blipFill>
                    <a:blip r:embed="rId10"/>
                    <a:stretch>
                      <a:fillRect/>
                    </a:stretch>
                  </pic:blipFill>
                  <pic:spPr bwMode="auto">
                    <a:xfrm>
                      <a:off x="0" y="0"/>
                      <a:ext cx="5334000" cy="2319894"/>
                    </a:xfrm>
                    <a:prstGeom prst="rect">
                      <a:avLst/>
                    </a:prstGeom>
                    <a:noFill/>
                    <a:ln w="9525">
                      <a:noFill/>
                      <a:headEnd/>
                      <a:tailEnd/>
                    </a:ln>
                  </pic:spPr>
                </pic:pic>
              </a:graphicData>
            </a:graphic>
          </wp:inline>
        </w:drawing>
      </w:r>
    </w:p>
    <w:p w14:paraId="70FB27B8" w14:textId="77777777" w:rsidR="00F627C4" w:rsidRDefault="00000000">
      <w:pPr>
        <w:pStyle w:val="BodyText"/>
      </w:pPr>
      <w:r>
        <w:t xml:space="preserve">A suggestion would be to classify the US by smaller regions to match the relative size and total market audience of the other countries. </w:t>
      </w:r>
    </w:p>
    <w:p w14:paraId="6E2FAB89" w14:textId="77777777" w:rsidR="00F627C4" w:rsidRDefault="00000000">
      <w:pPr>
        <w:pStyle w:val="BlockText"/>
      </w:pPr>
      <w:r>
        <w:t>For example, the US could be further subdivided into regions such as</w:t>
      </w:r>
    </w:p>
    <w:p w14:paraId="35D4A3FA" w14:textId="77777777" w:rsidR="00F627C4" w:rsidRDefault="00000000">
      <w:pPr>
        <w:pStyle w:val="BlockText"/>
        <w:numPr>
          <w:ilvl w:val="0"/>
          <w:numId w:val="4"/>
        </w:numPr>
      </w:pPr>
      <w:r>
        <w:t>Midwest</w:t>
      </w:r>
    </w:p>
    <w:p w14:paraId="39A37561" w14:textId="77777777" w:rsidR="00F627C4" w:rsidRDefault="00000000">
      <w:pPr>
        <w:pStyle w:val="BlockText"/>
        <w:numPr>
          <w:ilvl w:val="0"/>
          <w:numId w:val="4"/>
        </w:numPr>
      </w:pPr>
      <w:r>
        <w:t>East Coast</w:t>
      </w:r>
    </w:p>
    <w:p w14:paraId="4EDACF9F" w14:textId="77777777" w:rsidR="00F627C4" w:rsidRDefault="00000000">
      <w:pPr>
        <w:pStyle w:val="BlockText"/>
        <w:numPr>
          <w:ilvl w:val="0"/>
          <w:numId w:val="4"/>
        </w:numPr>
      </w:pPr>
      <w:r>
        <w:t>West Coast</w:t>
      </w:r>
    </w:p>
    <w:p w14:paraId="3B5BE83E" w14:textId="77777777" w:rsidR="00F627C4" w:rsidRDefault="00000000">
      <w:pPr>
        <w:pStyle w:val="BlockText"/>
        <w:numPr>
          <w:ilvl w:val="0"/>
          <w:numId w:val="4"/>
        </w:numPr>
      </w:pPr>
      <w:r>
        <w:t>Gulf Coast</w:t>
      </w:r>
    </w:p>
    <w:p w14:paraId="4FE9786D" w14:textId="77777777" w:rsidR="00F627C4" w:rsidRDefault="00000000">
      <w:pPr>
        <w:pStyle w:val="BlockText"/>
      </w:pPr>
      <w:r>
        <w:t>And the European Regions could be further grouped either by:</w:t>
      </w:r>
    </w:p>
    <w:p w14:paraId="4ABDC8A3" w14:textId="77777777" w:rsidR="00F627C4" w:rsidRDefault="00000000">
      <w:pPr>
        <w:pStyle w:val="BlockText"/>
        <w:numPr>
          <w:ilvl w:val="0"/>
          <w:numId w:val="5"/>
        </w:numPr>
      </w:pPr>
      <w:r>
        <w:t>currency</w:t>
      </w:r>
    </w:p>
    <w:p w14:paraId="6DC6E34A" w14:textId="77777777" w:rsidR="00F627C4" w:rsidRDefault="00000000">
      <w:pPr>
        <w:pStyle w:val="BlockText"/>
        <w:numPr>
          <w:ilvl w:val="0"/>
          <w:numId w:val="5"/>
        </w:numPr>
      </w:pPr>
      <w:r>
        <w:t>language (Slavic vs Romanized content)</w:t>
      </w:r>
    </w:p>
    <w:p w14:paraId="020A7211" w14:textId="77777777" w:rsidR="00F627C4" w:rsidRDefault="00000000">
      <w:pPr>
        <w:pStyle w:val="FirstParagraph"/>
      </w:pPr>
      <w:r>
        <w:t>These differentiations could help the crowdfunding platform better understand their creator market and the audience market. Profiles and packages could be created, tailored for each region as an incentive for creatives choosing to use this crowdfunding platform over the competitors. It would also manage any social media queries and SEO.</w:t>
      </w:r>
    </w:p>
    <w:p w14:paraId="65C6A41B" w14:textId="77777777" w:rsidR="00F627C4" w:rsidRDefault="00000000">
      <w:pPr>
        <w:pStyle w:val="Heading4"/>
      </w:pPr>
      <w:bookmarkStart w:id="4" w:name="X930e7242a232a0170751cf92a1d963b0fa876a4"/>
      <w:bookmarkEnd w:id="3"/>
      <w:r>
        <w:t>Balancing the platform's "investment" portfolio</w:t>
      </w:r>
    </w:p>
    <w:p w14:paraId="109286EA" w14:textId="77777777" w:rsidR="00F627C4" w:rsidRDefault="00000000">
      <w:pPr>
        <w:pStyle w:val="FirstParagraph"/>
      </w:pPr>
      <w:r>
        <w:rPr>
          <w:i/>
          <w:iCs/>
        </w:rPr>
        <w:t>What are some other possible tables and/or graphs that we could create, and what additional value would they provide?</w:t>
      </w:r>
    </w:p>
    <w:p w14:paraId="604E8716" w14:textId="77777777" w:rsidR="00F627C4" w:rsidRDefault="00000000">
      <w:pPr>
        <w:pStyle w:val="BodyText"/>
      </w:pPr>
      <w:r>
        <w:lastRenderedPageBreak/>
        <w:t xml:space="preserve">An additional chart and calculated field could be to tie the funding to a new category - </w:t>
      </w:r>
      <w:r>
        <w:rPr>
          <w:b/>
          <w:bCs/>
        </w:rPr>
        <w:t>implementation timing</w:t>
      </w:r>
      <w:r>
        <w:t>. This field would indicate whether the project would have to be consumed in a short term (ie., food or other perishables, limited edition projects), seasonal (for a few months at a time, for the duration of a set season or tour), or long term (distributed on channels to be consumed at the audience's leisure):</w:t>
      </w:r>
    </w:p>
    <w:p w14:paraId="3FA14D28" w14:textId="77777777" w:rsidR="00F627C4" w:rsidRDefault="00000000">
      <w:pPr>
        <w:pStyle w:val="BodyText"/>
      </w:pPr>
      <w:r>
        <w:rPr>
          <w:noProof/>
        </w:rPr>
        <w:drawing>
          <wp:inline distT="0" distB="0" distL="0" distR="0" wp14:anchorId="069BF311" wp14:editId="27C88E4C">
            <wp:extent cx="5334000" cy="3206074"/>
            <wp:effectExtent l="0" t="0" r="0" b="0"/>
            <wp:docPr id="35" name="Picture" title="fig:"/>
            <wp:cNvGraphicFramePr/>
            <a:graphic xmlns:a="http://schemas.openxmlformats.org/drawingml/2006/main">
              <a:graphicData uri="http://schemas.openxmlformats.org/drawingml/2006/picture">
                <pic:pic xmlns:pic="http://schemas.openxmlformats.org/drawingml/2006/picture">
                  <pic:nvPicPr>
                    <pic:cNvPr id="36" name="Picture" descr="C:\Users\17138\AppData\Roaming\Typora\typora-user-images\image-20230316063126544.png"/>
                    <pic:cNvPicPr>
                      <a:picLocks noChangeAspect="1" noChangeArrowheads="1"/>
                    </pic:cNvPicPr>
                  </pic:nvPicPr>
                  <pic:blipFill>
                    <a:blip r:embed="rId11"/>
                    <a:stretch>
                      <a:fillRect/>
                    </a:stretch>
                  </pic:blipFill>
                  <pic:spPr bwMode="auto">
                    <a:xfrm>
                      <a:off x="0" y="0"/>
                      <a:ext cx="5334000" cy="3206074"/>
                    </a:xfrm>
                    <a:prstGeom prst="rect">
                      <a:avLst/>
                    </a:prstGeom>
                    <a:noFill/>
                    <a:ln w="9525">
                      <a:noFill/>
                      <a:headEnd/>
                      <a:tailEnd/>
                    </a:ln>
                  </pic:spPr>
                </pic:pic>
              </a:graphicData>
            </a:graphic>
          </wp:inline>
        </w:drawing>
      </w:r>
    </w:p>
    <w:p w14:paraId="2A19BC2B" w14:textId="0F4B7BB4" w:rsidR="00F627C4" w:rsidRDefault="00000000">
      <w:pPr>
        <w:pStyle w:val="BodyText"/>
      </w:pPr>
      <w:r>
        <w:t xml:space="preserve">This crowdfunding platform has a heavy focus towards supporting seasonal projects such as theatre, film &amp; </w:t>
      </w:r>
      <w:r w:rsidR="00714D37">
        <w:t>video,</w:t>
      </w:r>
      <w:r>
        <w:t xml:space="preserve"> and music. These project categories carry the characteristic of not necessarily having a shelf life, but rather a time in place that audiences have a demand to consume such content. 72% of funding tracked by the crowdfunding platform, representing a little over $30 million showcases that the users on participating on the platform help fund seasonal projects more than others. </w:t>
      </w:r>
    </w:p>
    <w:p w14:paraId="38547FC9" w14:textId="63E69164" w:rsidR="00F627C4" w:rsidRDefault="00000000">
      <w:pPr>
        <w:pStyle w:val="BlockText"/>
      </w:pPr>
      <w:r>
        <w:t>There could be a scenario that a creator, or rather a series of creators would mass exit the platform due to the heavily weighted preference towards seasonal content. This would not only pigeon-hole the platform, but greatly reduce the appeal to the general audience as too "specialized" or "biased". It might be a goal-oriented decision to rebalance the portfolio by incentivizing project types across a "implementation timeline". Being transparent to creators will no doubt increase the number of applications as well as the hype for the average donor/user/customer.</w:t>
      </w:r>
      <w:bookmarkEnd w:id="0"/>
      <w:bookmarkEnd w:id="2"/>
      <w:bookmarkEnd w:id="4"/>
    </w:p>
    <w:p w14:paraId="1F649A8C" w14:textId="7189B1F1" w:rsidR="00DB60B8" w:rsidRDefault="00DB60B8" w:rsidP="00DB60B8">
      <w:pPr>
        <w:pStyle w:val="BodyText"/>
      </w:pPr>
    </w:p>
    <w:p w14:paraId="4A7C5686" w14:textId="1F1022C8" w:rsidR="00DB60B8" w:rsidRDefault="00DB60B8" w:rsidP="00DB60B8">
      <w:pPr>
        <w:pStyle w:val="BodyText"/>
      </w:pPr>
    </w:p>
    <w:p w14:paraId="49130CCD" w14:textId="7ADEEC83" w:rsidR="00DB60B8" w:rsidRDefault="00DB60B8">
      <w:r>
        <w:br w:type="page"/>
      </w:r>
    </w:p>
    <w:p w14:paraId="552447D6" w14:textId="0E7CE305" w:rsidR="00DB60B8" w:rsidRDefault="00DB60B8" w:rsidP="00DB60B8">
      <w:pPr>
        <w:pStyle w:val="Heading1"/>
      </w:pPr>
      <w:r>
        <w:lastRenderedPageBreak/>
        <w:t>Bonus Module</w:t>
      </w:r>
    </w:p>
    <w:p w14:paraId="25E28422" w14:textId="02177042" w:rsidR="00DB60B8" w:rsidRDefault="00DB60B8" w:rsidP="00DB60B8">
      <w:pPr>
        <w:pStyle w:val="BodyText"/>
      </w:pPr>
      <w:r>
        <w:t xml:space="preserve">In an effort to streamline the data, an auxiliary table was created with the goal category label. </w:t>
      </w:r>
    </w:p>
    <w:tbl>
      <w:tblPr>
        <w:tblW w:w="7040" w:type="dxa"/>
        <w:jc w:val="center"/>
        <w:tblLook w:val="04A0" w:firstRow="1" w:lastRow="0" w:firstColumn="1" w:lastColumn="0" w:noHBand="0" w:noVBand="1"/>
      </w:tblPr>
      <w:tblGrid>
        <w:gridCol w:w="3280"/>
        <w:gridCol w:w="1940"/>
        <w:gridCol w:w="1820"/>
      </w:tblGrid>
      <w:tr w:rsidR="00DB60B8" w:rsidRPr="00DB60B8" w14:paraId="5B09ECFA"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51A283FD" w14:textId="77777777" w:rsidR="00DB60B8" w:rsidRPr="00DB60B8" w:rsidRDefault="00DB60B8" w:rsidP="00DB60B8">
            <w:pPr>
              <w:spacing w:after="0"/>
              <w:rPr>
                <w:rFonts w:ascii="Calibri" w:eastAsia="Times New Roman" w:hAnsi="Calibri" w:cs="Calibri"/>
                <w:b/>
                <w:bCs/>
                <w:color w:val="000000"/>
              </w:rPr>
            </w:pPr>
            <w:r w:rsidRPr="00DB60B8">
              <w:rPr>
                <w:rFonts w:ascii="Calibri" w:eastAsia="Times New Roman" w:hAnsi="Calibri" w:cs="Calibri"/>
                <w:b/>
                <w:bCs/>
                <w:color w:val="000000"/>
              </w:rPr>
              <w:t>Goal</w:t>
            </w:r>
          </w:p>
        </w:tc>
        <w:tc>
          <w:tcPr>
            <w:tcW w:w="1940" w:type="dxa"/>
            <w:tcBorders>
              <w:top w:val="nil"/>
              <w:left w:val="nil"/>
              <w:bottom w:val="nil"/>
              <w:right w:val="nil"/>
            </w:tcBorders>
            <w:shd w:val="clear" w:color="auto" w:fill="auto"/>
            <w:noWrap/>
            <w:vAlign w:val="bottom"/>
            <w:hideMark/>
          </w:tcPr>
          <w:p w14:paraId="62AE6E61" w14:textId="77777777" w:rsidR="00DB60B8" w:rsidRPr="00DB60B8" w:rsidRDefault="00DB60B8" w:rsidP="00DB60B8">
            <w:pPr>
              <w:spacing w:after="0"/>
              <w:rPr>
                <w:rFonts w:ascii="Calibri" w:eastAsia="Times New Roman" w:hAnsi="Calibri" w:cs="Calibri"/>
                <w:b/>
                <w:bCs/>
                <w:color w:val="000000"/>
              </w:rPr>
            </w:pPr>
            <w:r w:rsidRPr="00DB60B8">
              <w:rPr>
                <w:rFonts w:ascii="Calibri" w:eastAsia="Times New Roman" w:hAnsi="Calibri" w:cs="Calibri"/>
                <w:b/>
                <w:bCs/>
                <w:color w:val="000000"/>
              </w:rPr>
              <w:t>Goal Cat</w:t>
            </w:r>
          </w:p>
        </w:tc>
        <w:tc>
          <w:tcPr>
            <w:tcW w:w="1820" w:type="dxa"/>
            <w:tcBorders>
              <w:top w:val="nil"/>
              <w:left w:val="nil"/>
              <w:bottom w:val="nil"/>
              <w:right w:val="nil"/>
            </w:tcBorders>
            <w:shd w:val="clear" w:color="auto" w:fill="auto"/>
            <w:noWrap/>
            <w:vAlign w:val="bottom"/>
            <w:hideMark/>
          </w:tcPr>
          <w:p w14:paraId="58CD678A" w14:textId="77777777" w:rsidR="00DB60B8" w:rsidRPr="00DB60B8" w:rsidRDefault="00DB60B8" w:rsidP="00DB60B8">
            <w:pPr>
              <w:spacing w:after="0"/>
              <w:rPr>
                <w:rFonts w:ascii="Calibri" w:eastAsia="Times New Roman" w:hAnsi="Calibri" w:cs="Calibri"/>
                <w:b/>
                <w:bCs/>
                <w:color w:val="000000"/>
              </w:rPr>
            </w:pPr>
            <w:r w:rsidRPr="00DB60B8">
              <w:rPr>
                <w:rFonts w:ascii="Calibri" w:eastAsia="Times New Roman" w:hAnsi="Calibri" w:cs="Calibri"/>
                <w:b/>
                <w:bCs/>
                <w:color w:val="000000"/>
              </w:rPr>
              <w:t>Total Projects</w:t>
            </w:r>
          </w:p>
        </w:tc>
      </w:tr>
      <w:tr w:rsidR="00DB60B8" w:rsidRPr="00DB60B8" w14:paraId="15928D77"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26D5167A"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Less than 1000</w:t>
            </w:r>
          </w:p>
        </w:tc>
        <w:tc>
          <w:tcPr>
            <w:tcW w:w="1940" w:type="dxa"/>
            <w:tcBorders>
              <w:top w:val="nil"/>
              <w:left w:val="nil"/>
              <w:bottom w:val="nil"/>
              <w:right w:val="nil"/>
            </w:tcBorders>
            <w:shd w:val="clear" w:color="auto" w:fill="auto"/>
            <w:noWrap/>
            <w:vAlign w:val="bottom"/>
            <w:hideMark/>
          </w:tcPr>
          <w:p w14:paraId="57CC1020"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A</w:t>
            </w:r>
          </w:p>
        </w:tc>
        <w:tc>
          <w:tcPr>
            <w:tcW w:w="1820" w:type="dxa"/>
            <w:tcBorders>
              <w:top w:val="nil"/>
              <w:left w:val="nil"/>
              <w:bottom w:val="nil"/>
              <w:right w:val="nil"/>
            </w:tcBorders>
            <w:shd w:val="clear" w:color="auto" w:fill="auto"/>
            <w:noWrap/>
            <w:vAlign w:val="bottom"/>
            <w:hideMark/>
          </w:tcPr>
          <w:p w14:paraId="4A93723E"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51</w:t>
            </w:r>
          </w:p>
        </w:tc>
      </w:tr>
      <w:tr w:rsidR="00DB60B8" w:rsidRPr="00DB60B8" w14:paraId="16D7DB33"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3249D903"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1000 to 4999</w:t>
            </w:r>
          </w:p>
        </w:tc>
        <w:tc>
          <w:tcPr>
            <w:tcW w:w="1940" w:type="dxa"/>
            <w:tcBorders>
              <w:top w:val="nil"/>
              <w:left w:val="nil"/>
              <w:bottom w:val="nil"/>
              <w:right w:val="nil"/>
            </w:tcBorders>
            <w:shd w:val="clear" w:color="auto" w:fill="auto"/>
            <w:noWrap/>
            <w:vAlign w:val="bottom"/>
            <w:hideMark/>
          </w:tcPr>
          <w:p w14:paraId="56170634"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B</w:t>
            </w:r>
          </w:p>
        </w:tc>
        <w:tc>
          <w:tcPr>
            <w:tcW w:w="1820" w:type="dxa"/>
            <w:tcBorders>
              <w:top w:val="nil"/>
              <w:left w:val="nil"/>
              <w:bottom w:val="nil"/>
              <w:right w:val="nil"/>
            </w:tcBorders>
            <w:shd w:val="clear" w:color="auto" w:fill="auto"/>
            <w:noWrap/>
            <w:vAlign w:val="bottom"/>
            <w:hideMark/>
          </w:tcPr>
          <w:p w14:paraId="4C55E8FC"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234</w:t>
            </w:r>
          </w:p>
        </w:tc>
      </w:tr>
      <w:tr w:rsidR="00DB60B8" w:rsidRPr="00DB60B8" w14:paraId="4451DF36"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7200EA39"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5000 to 9999</w:t>
            </w:r>
          </w:p>
        </w:tc>
        <w:tc>
          <w:tcPr>
            <w:tcW w:w="1940" w:type="dxa"/>
            <w:tcBorders>
              <w:top w:val="nil"/>
              <w:left w:val="nil"/>
              <w:bottom w:val="nil"/>
              <w:right w:val="nil"/>
            </w:tcBorders>
            <w:shd w:val="clear" w:color="auto" w:fill="auto"/>
            <w:noWrap/>
            <w:vAlign w:val="bottom"/>
            <w:hideMark/>
          </w:tcPr>
          <w:p w14:paraId="28267D7A"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C</w:t>
            </w:r>
          </w:p>
        </w:tc>
        <w:tc>
          <w:tcPr>
            <w:tcW w:w="1820" w:type="dxa"/>
            <w:tcBorders>
              <w:top w:val="nil"/>
              <w:left w:val="nil"/>
              <w:bottom w:val="nil"/>
              <w:right w:val="nil"/>
            </w:tcBorders>
            <w:shd w:val="clear" w:color="auto" w:fill="auto"/>
            <w:noWrap/>
            <w:vAlign w:val="bottom"/>
            <w:hideMark/>
          </w:tcPr>
          <w:p w14:paraId="67A87308"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317</w:t>
            </w:r>
          </w:p>
        </w:tc>
      </w:tr>
      <w:tr w:rsidR="00DB60B8" w:rsidRPr="00DB60B8" w14:paraId="08D4BE18"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13ECE446"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10000 to 14999</w:t>
            </w:r>
          </w:p>
        </w:tc>
        <w:tc>
          <w:tcPr>
            <w:tcW w:w="1940" w:type="dxa"/>
            <w:tcBorders>
              <w:top w:val="nil"/>
              <w:left w:val="nil"/>
              <w:bottom w:val="nil"/>
              <w:right w:val="nil"/>
            </w:tcBorders>
            <w:shd w:val="clear" w:color="auto" w:fill="auto"/>
            <w:noWrap/>
            <w:vAlign w:val="bottom"/>
            <w:hideMark/>
          </w:tcPr>
          <w:p w14:paraId="01FE1A1D"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D</w:t>
            </w:r>
          </w:p>
        </w:tc>
        <w:tc>
          <w:tcPr>
            <w:tcW w:w="1820" w:type="dxa"/>
            <w:tcBorders>
              <w:top w:val="nil"/>
              <w:left w:val="nil"/>
              <w:bottom w:val="nil"/>
              <w:right w:val="nil"/>
            </w:tcBorders>
            <w:shd w:val="clear" w:color="auto" w:fill="auto"/>
            <w:noWrap/>
            <w:vAlign w:val="bottom"/>
            <w:hideMark/>
          </w:tcPr>
          <w:p w14:paraId="0C3C855B"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9</w:t>
            </w:r>
          </w:p>
        </w:tc>
      </w:tr>
      <w:tr w:rsidR="00DB60B8" w:rsidRPr="00DB60B8" w14:paraId="62316ED2"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648D5482"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15000 to 19999</w:t>
            </w:r>
          </w:p>
        </w:tc>
        <w:tc>
          <w:tcPr>
            <w:tcW w:w="1940" w:type="dxa"/>
            <w:tcBorders>
              <w:top w:val="nil"/>
              <w:left w:val="nil"/>
              <w:bottom w:val="nil"/>
              <w:right w:val="nil"/>
            </w:tcBorders>
            <w:shd w:val="clear" w:color="auto" w:fill="auto"/>
            <w:noWrap/>
            <w:vAlign w:val="bottom"/>
            <w:hideMark/>
          </w:tcPr>
          <w:p w14:paraId="1CEFD9D8"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E</w:t>
            </w:r>
          </w:p>
        </w:tc>
        <w:tc>
          <w:tcPr>
            <w:tcW w:w="1820" w:type="dxa"/>
            <w:tcBorders>
              <w:top w:val="nil"/>
              <w:left w:val="nil"/>
              <w:bottom w:val="nil"/>
              <w:right w:val="nil"/>
            </w:tcBorders>
            <w:shd w:val="clear" w:color="auto" w:fill="auto"/>
            <w:noWrap/>
            <w:vAlign w:val="bottom"/>
            <w:hideMark/>
          </w:tcPr>
          <w:p w14:paraId="38850584"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10</w:t>
            </w:r>
          </w:p>
        </w:tc>
      </w:tr>
      <w:tr w:rsidR="00DB60B8" w:rsidRPr="00DB60B8" w14:paraId="17761CE0"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1D754E46"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20000 to 24999</w:t>
            </w:r>
          </w:p>
        </w:tc>
        <w:tc>
          <w:tcPr>
            <w:tcW w:w="1940" w:type="dxa"/>
            <w:tcBorders>
              <w:top w:val="nil"/>
              <w:left w:val="nil"/>
              <w:bottom w:val="nil"/>
              <w:right w:val="nil"/>
            </w:tcBorders>
            <w:shd w:val="clear" w:color="auto" w:fill="auto"/>
            <w:noWrap/>
            <w:vAlign w:val="bottom"/>
            <w:hideMark/>
          </w:tcPr>
          <w:p w14:paraId="3848A10E"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F</w:t>
            </w:r>
          </w:p>
        </w:tc>
        <w:tc>
          <w:tcPr>
            <w:tcW w:w="1820" w:type="dxa"/>
            <w:tcBorders>
              <w:top w:val="nil"/>
              <w:left w:val="nil"/>
              <w:bottom w:val="nil"/>
              <w:right w:val="nil"/>
            </w:tcBorders>
            <w:shd w:val="clear" w:color="auto" w:fill="auto"/>
            <w:noWrap/>
            <w:vAlign w:val="bottom"/>
            <w:hideMark/>
          </w:tcPr>
          <w:p w14:paraId="555776D1"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7</w:t>
            </w:r>
          </w:p>
        </w:tc>
      </w:tr>
      <w:tr w:rsidR="00DB60B8" w:rsidRPr="00DB60B8" w14:paraId="5A56AACE"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293E74E6"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25000 to 29999</w:t>
            </w:r>
          </w:p>
        </w:tc>
        <w:tc>
          <w:tcPr>
            <w:tcW w:w="1940" w:type="dxa"/>
            <w:tcBorders>
              <w:top w:val="nil"/>
              <w:left w:val="nil"/>
              <w:bottom w:val="nil"/>
              <w:right w:val="nil"/>
            </w:tcBorders>
            <w:shd w:val="clear" w:color="auto" w:fill="auto"/>
            <w:noWrap/>
            <w:vAlign w:val="bottom"/>
            <w:hideMark/>
          </w:tcPr>
          <w:p w14:paraId="5C1765E2"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G</w:t>
            </w:r>
          </w:p>
        </w:tc>
        <w:tc>
          <w:tcPr>
            <w:tcW w:w="1820" w:type="dxa"/>
            <w:tcBorders>
              <w:top w:val="nil"/>
              <w:left w:val="nil"/>
              <w:bottom w:val="nil"/>
              <w:right w:val="nil"/>
            </w:tcBorders>
            <w:shd w:val="clear" w:color="auto" w:fill="auto"/>
            <w:noWrap/>
            <w:vAlign w:val="bottom"/>
            <w:hideMark/>
          </w:tcPr>
          <w:p w14:paraId="08AC7023"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14</w:t>
            </w:r>
          </w:p>
        </w:tc>
      </w:tr>
      <w:tr w:rsidR="00DB60B8" w:rsidRPr="00DB60B8" w14:paraId="2D312F23"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49E3949A"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30000 to 34999</w:t>
            </w:r>
          </w:p>
        </w:tc>
        <w:tc>
          <w:tcPr>
            <w:tcW w:w="1940" w:type="dxa"/>
            <w:tcBorders>
              <w:top w:val="nil"/>
              <w:left w:val="nil"/>
              <w:bottom w:val="nil"/>
              <w:right w:val="nil"/>
            </w:tcBorders>
            <w:shd w:val="clear" w:color="auto" w:fill="auto"/>
            <w:noWrap/>
            <w:vAlign w:val="bottom"/>
            <w:hideMark/>
          </w:tcPr>
          <w:p w14:paraId="3AC8A3C6"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H</w:t>
            </w:r>
          </w:p>
        </w:tc>
        <w:tc>
          <w:tcPr>
            <w:tcW w:w="1820" w:type="dxa"/>
            <w:tcBorders>
              <w:top w:val="nil"/>
              <w:left w:val="nil"/>
              <w:bottom w:val="nil"/>
              <w:right w:val="nil"/>
            </w:tcBorders>
            <w:shd w:val="clear" w:color="auto" w:fill="auto"/>
            <w:noWrap/>
            <w:vAlign w:val="bottom"/>
            <w:hideMark/>
          </w:tcPr>
          <w:p w14:paraId="3E3FB5E0"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7</w:t>
            </w:r>
          </w:p>
        </w:tc>
      </w:tr>
      <w:tr w:rsidR="00DB60B8" w:rsidRPr="00DB60B8" w14:paraId="1B245812"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52EA269C"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35000 to 39999</w:t>
            </w:r>
          </w:p>
        </w:tc>
        <w:tc>
          <w:tcPr>
            <w:tcW w:w="1940" w:type="dxa"/>
            <w:tcBorders>
              <w:top w:val="nil"/>
              <w:left w:val="nil"/>
              <w:bottom w:val="nil"/>
              <w:right w:val="nil"/>
            </w:tcBorders>
            <w:shd w:val="clear" w:color="auto" w:fill="auto"/>
            <w:noWrap/>
            <w:vAlign w:val="bottom"/>
            <w:hideMark/>
          </w:tcPr>
          <w:p w14:paraId="7BD800CA"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I</w:t>
            </w:r>
          </w:p>
        </w:tc>
        <w:tc>
          <w:tcPr>
            <w:tcW w:w="1820" w:type="dxa"/>
            <w:tcBorders>
              <w:top w:val="nil"/>
              <w:left w:val="nil"/>
              <w:bottom w:val="nil"/>
              <w:right w:val="nil"/>
            </w:tcBorders>
            <w:shd w:val="clear" w:color="auto" w:fill="auto"/>
            <w:noWrap/>
            <w:vAlign w:val="bottom"/>
            <w:hideMark/>
          </w:tcPr>
          <w:p w14:paraId="28A34896"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12</w:t>
            </w:r>
          </w:p>
        </w:tc>
      </w:tr>
      <w:tr w:rsidR="00DB60B8" w:rsidRPr="00DB60B8" w14:paraId="1C2CD480"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5C535925"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40000 to 44999</w:t>
            </w:r>
          </w:p>
        </w:tc>
        <w:tc>
          <w:tcPr>
            <w:tcW w:w="1940" w:type="dxa"/>
            <w:tcBorders>
              <w:top w:val="nil"/>
              <w:left w:val="nil"/>
              <w:bottom w:val="nil"/>
              <w:right w:val="nil"/>
            </w:tcBorders>
            <w:shd w:val="clear" w:color="auto" w:fill="auto"/>
            <w:noWrap/>
            <w:vAlign w:val="bottom"/>
            <w:hideMark/>
          </w:tcPr>
          <w:p w14:paraId="048FB989"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J</w:t>
            </w:r>
          </w:p>
        </w:tc>
        <w:tc>
          <w:tcPr>
            <w:tcW w:w="1820" w:type="dxa"/>
            <w:tcBorders>
              <w:top w:val="nil"/>
              <w:left w:val="nil"/>
              <w:bottom w:val="nil"/>
              <w:right w:val="nil"/>
            </w:tcBorders>
            <w:shd w:val="clear" w:color="auto" w:fill="auto"/>
            <w:noWrap/>
            <w:vAlign w:val="bottom"/>
            <w:hideMark/>
          </w:tcPr>
          <w:p w14:paraId="18CD6F20"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15</w:t>
            </w:r>
          </w:p>
        </w:tc>
      </w:tr>
      <w:tr w:rsidR="00DB60B8" w:rsidRPr="00DB60B8" w14:paraId="3DD2179A"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7EE0FCFA"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45000 to 49999</w:t>
            </w:r>
          </w:p>
        </w:tc>
        <w:tc>
          <w:tcPr>
            <w:tcW w:w="1940" w:type="dxa"/>
            <w:tcBorders>
              <w:top w:val="nil"/>
              <w:left w:val="nil"/>
              <w:bottom w:val="nil"/>
              <w:right w:val="nil"/>
            </w:tcBorders>
            <w:shd w:val="clear" w:color="auto" w:fill="auto"/>
            <w:noWrap/>
            <w:vAlign w:val="bottom"/>
            <w:hideMark/>
          </w:tcPr>
          <w:p w14:paraId="1855F1CB"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K</w:t>
            </w:r>
          </w:p>
        </w:tc>
        <w:tc>
          <w:tcPr>
            <w:tcW w:w="1820" w:type="dxa"/>
            <w:tcBorders>
              <w:top w:val="nil"/>
              <w:left w:val="nil"/>
              <w:bottom w:val="nil"/>
              <w:right w:val="nil"/>
            </w:tcBorders>
            <w:shd w:val="clear" w:color="auto" w:fill="auto"/>
            <w:noWrap/>
            <w:vAlign w:val="bottom"/>
            <w:hideMark/>
          </w:tcPr>
          <w:p w14:paraId="3429ACAC"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11</w:t>
            </w:r>
          </w:p>
        </w:tc>
      </w:tr>
      <w:tr w:rsidR="00DB60B8" w:rsidRPr="00DB60B8" w14:paraId="7C8DD336"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3FE055F9" w14:textId="77777777" w:rsidR="00DB60B8" w:rsidRPr="00DB60B8" w:rsidRDefault="00DB60B8" w:rsidP="00DB60B8">
            <w:pPr>
              <w:spacing w:after="0"/>
              <w:rPr>
                <w:rFonts w:ascii="Calibri" w:eastAsia="Times New Roman" w:hAnsi="Calibri" w:cs="Calibri"/>
                <w:color w:val="000000"/>
              </w:rPr>
            </w:pPr>
            <w:r w:rsidRPr="00DB60B8">
              <w:rPr>
                <w:rFonts w:ascii="Calibri" w:eastAsia="Times New Roman" w:hAnsi="Calibri" w:cs="Calibri"/>
                <w:color w:val="000000"/>
              </w:rPr>
              <w:t>Greater than or equal to 50000</w:t>
            </w:r>
          </w:p>
        </w:tc>
        <w:tc>
          <w:tcPr>
            <w:tcW w:w="1940" w:type="dxa"/>
            <w:tcBorders>
              <w:top w:val="nil"/>
              <w:left w:val="nil"/>
              <w:bottom w:val="nil"/>
              <w:right w:val="nil"/>
            </w:tcBorders>
            <w:shd w:val="clear" w:color="auto" w:fill="auto"/>
            <w:noWrap/>
            <w:vAlign w:val="bottom"/>
            <w:hideMark/>
          </w:tcPr>
          <w:p w14:paraId="1C4F01EF"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L</w:t>
            </w:r>
          </w:p>
        </w:tc>
        <w:tc>
          <w:tcPr>
            <w:tcW w:w="1820" w:type="dxa"/>
            <w:tcBorders>
              <w:top w:val="nil"/>
              <w:left w:val="nil"/>
              <w:bottom w:val="nil"/>
              <w:right w:val="nil"/>
            </w:tcBorders>
            <w:shd w:val="clear" w:color="auto" w:fill="auto"/>
            <w:noWrap/>
            <w:vAlign w:val="bottom"/>
            <w:hideMark/>
          </w:tcPr>
          <w:p w14:paraId="1E09E473"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313</w:t>
            </w:r>
          </w:p>
        </w:tc>
      </w:tr>
      <w:tr w:rsidR="00DB60B8" w:rsidRPr="00DB60B8" w14:paraId="6C597966" w14:textId="77777777" w:rsidTr="00DB60B8">
        <w:trPr>
          <w:trHeight w:val="312"/>
          <w:jc w:val="center"/>
        </w:trPr>
        <w:tc>
          <w:tcPr>
            <w:tcW w:w="3280" w:type="dxa"/>
            <w:tcBorders>
              <w:top w:val="nil"/>
              <w:left w:val="nil"/>
              <w:bottom w:val="nil"/>
              <w:right w:val="nil"/>
            </w:tcBorders>
            <w:shd w:val="clear" w:color="auto" w:fill="auto"/>
            <w:noWrap/>
            <w:vAlign w:val="bottom"/>
            <w:hideMark/>
          </w:tcPr>
          <w:p w14:paraId="67ECAABD" w14:textId="77777777" w:rsidR="00DB60B8" w:rsidRPr="00DB60B8" w:rsidRDefault="00DB60B8" w:rsidP="00DB60B8">
            <w:pPr>
              <w:spacing w:after="0"/>
              <w:jc w:val="right"/>
              <w:rPr>
                <w:rFonts w:ascii="Calibri" w:eastAsia="Times New Roman" w:hAnsi="Calibri" w:cs="Calibri"/>
                <w:color w:val="000000"/>
              </w:rPr>
            </w:pPr>
          </w:p>
        </w:tc>
        <w:tc>
          <w:tcPr>
            <w:tcW w:w="1940" w:type="dxa"/>
            <w:tcBorders>
              <w:top w:val="nil"/>
              <w:left w:val="nil"/>
              <w:bottom w:val="nil"/>
              <w:right w:val="nil"/>
            </w:tcBorders>
            <w:shd w:val="clear" w:color="auto" w:fill="auto"/>
            <w:noWrap/>
            <w:vAlign w:val="bottom"/>
            <w:hideMark/>
          </w:tcPr>
          <w:p w14:paraId="7D5EF2B1" w14:textId="77777777" w:rsidR="00DB60B8" w:rsidRPr="00DB60B8" w:rsidRDefault="00DB60B8" w:rsidP="00DB60B8">
            <w:pPr>
              <w:spacing w:after="0"/>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3E916EEE" w14:textId="77777777" w:rsidR="00DB60B8" w:rsidRPr="00DB60B8" w:rsidRDefault="00DB60B8" w:rsidP="00DB60B8">
            <w:pPr>
              <w:spacing w:after="0"/>
              <w:jc w:val="right"/>
              <w:rPr>
                <w:rFonts w:ascii="Calibri" w:eastAsia="Times New Roman" w:hAnsi="Calibri" w:cs="Calibri"/>
                <w:color w:val="000000"/>
              </w:rPr>
            </w:pPr>
            <w:r w:rsidRPr="00DB60B8">
              <w:rPr>
                <w:rFonts w:ascii="Calibri" w:eastAsia="Times New Roman" w:hAnsi="Calibri" w:cs="Calibri"/>
                <w:color w:val="000000"/>
              </w:rPr>
              <w:t>1000</w:t>
            </w:r>
          </w:p>
        </w:tc>
      </w:tr>
    </w:tbl>
    <w:p w14:paraId="583A443B" w14:textId="31124FAE" w:rsidR="00DB60B8" w:rsidRDefault="00DB60B8" w:rsidP="00DB60B8">
      <w:pPr>
        <w:pStyle w:val="BodyText"/>
      </w:pPr>
      <w:r>
        <w:t xml:space="preserve">This made counting the results a part of the pivot table, instead of inputting the formula individually across a disjointed cell. </w:t>
      </w:r>
    </w:p>
    <w:p w14:paraId="7D3B6B49" w14:textId="7BC7344E" w:rsidR="00ED3DA7" w:rsidRDefault="00597C58" w:rsidP="00597C58">
      <w:pPr>
        <w:pStyle w:val="BodyText"/>
        <w:rPr>
          <w:rFonts w:asciiTheme="majorHAnsi" w:eastAsiaTheme="majorEastAsia" w:hAnsiTheme="majorHAnsi" w:cstheme="majorBidi"/>
          <w:b/>
          <w:bCs/>
          <w:color w:val="4F81BD" w:themeColor="accent1"/>
          <w:sz w:val="32"/>
          <w:szCs w:val="32"/>
        </w:rPr>
      </w:pPr>
      <w:r w:rsidRPr="00597C58">
        <w:drawing>
          <wp:inline distT="0" distB="0" distL="0" distR="0" wp14:anchorId="495772EF" wp14:editId="280AD0E1">
            <wp:extent cx="5943600" cy="154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r>
        <w:rPr>
          <w:noProof/>
        </w:rPr>
        <w:drawing>
          <wp:inline distT="0" distB="0" distL="0" distR="0" wp14:anchorId="421CE2CD" wp14:editId="38E13265">
            <wp:extent cx="5943600" cy="2240280"/>
            <wp:effectExtent l="0" t="0" r="0" b="0"/>
            <wp:docPr id="2" name="Chart 2">
              <a:extLst xmlns:a="http://schemas.openxmlformats.org/drawingml/2006/main">
                <a:ext uri="{FF2B5EF4-FFF2-40B4-BE49-F238E27FC236}">
                  <a16:creationId xmlns:a16="http://schemas.microsoft.com/office/drawing/2014/main" id="{C93FEB6B-AAB6-4FB1-AF77-79C26A44C8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D3DA7">
        <w:br w:type="page"/>
      </w:r>
    </w:p>
    <w:p w14:paraId="35EFEF6C" w14:textId="7C023F18" w:rsidR="00DB60B8" w:rsidRDefault="00DB60B8" w:rsidP="00DB60B8">
      <w:pPr>
        <w:pStyle w:val="Heading1"/>
      </w:pPr>
      <w:r>
        <w:lastRenderedPageBreak/>
        <w:t>Bonus Statistical Analysis</w:t>
      </w:r>
    </w:p>
    <w:tbl>
      <w:tblPr>
        <w:tblW w:w="7860" w:type="dxa"/>
        <w:jc w:val="center"/>
        <w:tblLook w:val="04A0" w:firstRow="1" w:lastRow="0" w:firstColumn="1" w:lastColumn="0" w:noHBand="0" w:noVBand="1"/>
      </w:tblPr>
      <w:tblGrid>
        <w:gridCol w:w="1360"/>
        <w:gridCol w:w="1320"/>
        <w:gridCol w:w="5180"/>
      </w:tblGrid>
      <w:tr w:rsidR="00DB60B8" w:rsidRPr="00DB60B8" w14:paraId="05962D42" w14:textId="77777777" w:rsidTr="00DB60B8">
        <w:trPr>
          <w:trHeight w:val="624"/>
          <w:jc w:val="center"/>
        </w:trPr>
        <w:tc>
          <w:tcPr>
            <w:tcW w:w="1360" w:type="dxa"/>
            <w:tcBorders>
              <w:top w:val="nil"/>
              <w:left w:val="nil"/>
              <w:bottom w:val="nil"/>
              <w:right w:val="nil"/>
            </w:tcBorders>
            <w:shd w:val="clear" w:color="auto" w:fill="auto"/>
            <w:vAlign w:val="center"/>
            <w:hideMark/>
          </w:tcPr>
          <w:p w14:paraId="5AEBAC28" w14:textId="77777777" w:rsidR="00DB60B8" w:rsidRPr="00DB60B8" w:rsidRDefault="00DB60B8" w:rsidP="00DB60B8">
            <w:pPr>
              <w:spacing w:after="0"/>
              <w:jc w:val="center"/>
              <w:rPr>
                <w:rFonts w:ascii="Calibri" w:eastAsia="Times New Roman" w:hAnsi="Calibri" w:cs="Calibri"/>
                <w:b/>
                <w:bCs/>
                <w:color w:val="000000"/>
              </w:rPr>
            </w:pPr>
            <w:r w:rsidRPr="00DB60B8">
              <w:rPr>
                <w:rFonts w:ascii="Calibri" w:eastAsia="Times New Roman" w:hAnsi="Calibri" w:cs="Calibri"/>
                <w:b/>
                <w:bCs/>
                <w:color w:val="000000"/>
              </w:rPr>
              <w:t>Failed Statistics</w:t>
            </w:r>
          </w:p>
        </w:tc>
        <w:tc>
          <w:tcPr>
            <w:tcW w:w="1320" w:type="dxa"/>
            <w:tcBorders>
              <w:top w:val="nil"/>
              <w:left w:val="nil"/>
              <w:bottom w:val="nil"/>
              <w:right w:val="nil"/>
            </w:tcBorders>
            <w:shd w:val="clear" w:color="auto" w:fill="auto"/>
            <w:vAlign w:val="center"/>
            <w:hideMark/>
          </w:tcPr>
          <w:p w14:paraId="1E3862E9" w14:textId="77777777" w:rsidR="00DB60B8" w:rsidRPr="00DB60B8" w:rsidRDefault="00DB60B8" w:rsidP="00DB60B8">
            <w:pPr>
              <w:spacing w:after="0"/>
              <w:jc w:val="center"/>
              <w:rPr>
                <w:rFonts w:ascii="Calibri" w:eastAsia="Times New Roman" w:hAnsi="Calibri" w:cs="Calibri"/>
                <w:b/>
                <w:bCs/>
                <w:color w:val="000000"/>
              </w:rPr>
            </w:pPr>
            <w:r w:rsidRPr="00DB60B8">
              <w:rPr>
                <w:rFonts w:ascii="Calibri" w:eastAsia="Times New Roman" w:hAnsi="Calibri" w:cs="Calibri"/>
                <w:b/>
                <w:bCs/>
                <w:color w:val="000000"/>
              </w:rPr>
              <w:t>Successful Statistics</w:t>
            </w:r>
          </w:p>
        </w:tc>
        <w:tc>
          <w:tcPr>
            <w:tcW w:w="5180" w:type="dxa"/>
            <w:tcBorders>
              <w:top w:val="nil"/>
              <w:left w:val="nil"/>
              <w:bottom w:val="nil"/>
              <w:right w:val="nil"/>
            </w:tcBorders>
            <w:shd w:val="clear" w:color="auto" w:fill="auto"/>
            <w:noWrap/>
            <w:vAlign w:val="center"/>
            <w:hideMark/>
          </w:tcPr>
          <w:p w14:paraId="74373917" w14:textId="77777777" w:rsidR="00DB60B8" w:rsidRPr="00DB60B8" w:rsidRDefault="00DB60B8" w:rsidP="00DB60B8">
            <w:pPr>
              <w:spacing w:after="0"/>
              <w:ind w:firstLineChars="100" w:firstLine="241"/>
              <w:jc w:val="both"/>
              <w:rPr>
                <w:rFonts w:ascii="Calibri" w:eastAsia="Times New Roman" w:hAnsi="Calibri" w:cs="Calibri"/>
                <w:b/>
                <w:bCs/>
                <w:color w:val="000000"/>
              </w:rPr>
            </w:pPr>
            <w:r w:rsidRPr="00DB60B8">
              <w:rPr>
                <w:rFonts w:ascii="Calibri" w:eastAsia="Times New Roman" w:hAnsi="Calibri" w:cs="Calibri"/>
                <w:b/>
                <w:bCs/>
                <w:color w:val="000000"/>
              </w:rPr>
              <w:t>Statistical Analysis Results</w:t>
            </w:r>
          </w:p>
        </w:tc>
      </w:tr>
      <w:tr w:rsidR="00DB60B8" w:rsidRPr="00DB60B8" w14:paraId="3647236F" w14:textId="77777777" w:rsidTr="00DB60B8">
        <w:trPr>
          <w:trHeight w:val="312"/>
          <w:jc w:val="center"/>
        </w:trPr>
        <w:tc>
          <w:tcPr>
            <w:tcW w:w="1360" w:type="dxa"/>
            <w:tcBorders>
              <w:top w:val="nil"/>
              <w:left w:val="nil"/>
              <w:bottom w:val="nil"/>
              <w:right w:val="nil"/>
            </w:tcBorders>
            <w:shd w:val="clear" w:color="auto" w:fill="auto"/>
            <w:noWrap/>
            <w:vAlign w:val="center"/>
            <w:hideMark/>
          </w:tcPr>
          <w:p w14:paraId="6D52E0DD"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586 </w:t>
            </w:r>
          </w:p>
        </w:tc>
        <w:tc>
          <w:tcPr>
            <w:tcW w:w="1320" w:type="dxa"/>
            <w:tcBorders>
              <w:top w:val="nil"/>
              <w:left w:val="nil"/>
              <w:bottom w:val="nil"/>
              <w:right w:val="nil"/>
            </w:tcBorders>
            <w:shd w:val="clear" w:color="auto" w:fill="auto"/>
            <w:noWrap/>
            <w:vAlign w:val="center"/>
            <w:hideMark/>
          </w:tcPr>
          <w:p w14:paraId="1F897EB7"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851 </w:t>
            </w:r>
          </w:p>
        </w:tc>
        <w:tc>
          <w:tcPr>
            <w:tcW w:w="5180" w:type="dxa"/>
            <w:tcBorders>
              <w:top w:val="nil"/>
              <w:left w:val="nil"/>
              <w:bottom w:val="nil"/>
              <w:right w:val="nil"/>
            </w:tcBorders>
            <w:shd w:val="clear" w:color="auto" w:fill="auto"/>
            <w:noWrap/>
            <w:vAlign w:val="center"/>
            <w:hideMark/>
          </w:tcPr>
          <w:p w14:paraId="78CEF2D7" w14:textId="77777777" w:rsidR="00DB60B8" w:rsidRPr="00DB60B8" w:rsidRDefault="00DB60B8" w:rsidP="00DB60B8">
            <w:pPr>
              <w:spacing w:after="0"/>
              <w:rPr>
                <w:rFonts w:ascii="Open Sans" w:eastAsia="Times New Roman" w:hAnsi="Open Sans" w:cs="Open Sans"/>
                <w:color w:val="333333"/>
                <w:sz w:val="20"/>
                <w:szCs w:val="20"/>
              </w:rPr>
            </w:pPr>
            <w:r w:rsidRPr="00DB60B8">
              <w:rPr>
                <w:rFonts w:ascii="Open Sans" w:eastAsia="Times New Roman" w:hAnsi="Open Sans" w:cs="Open Sans"/>
                <w:color w:val="333333"/>
                <w:sz w:val="20"/>
                <w:szCs w:val="20"/>
              </w:rPr>
              <w:t>The mean number of backers</w:t>
            </w:r>
          </w:p>
        </w:tc>
      </w:tr>
      <w:tr w:rsidR="00DB60B8" w:rsidRPr="00DB60B8" w14:paraId="529A5922" w14:textId="77777777" w:rsidTr="00DB60B8">
        <w:trPr>
          <w:trHeight w:val="312"/>
          <w:jc w:val="center"/>
        </w:trPr>
        <w:tc>
          <w:tcPr>
            <w:tcW w:w="1360" w:type="dxa"/>
            <w:tcBorders>
              <w:top w:val="nil"/>
              <w:left w:val="nil"/>
              <w:bottom w:val="nil"/>
              <w:right w:val="nil"/>
            </w:tcBorders>
            <w:shd w:val="clear" w:color="auto" w:fill="auto"/>
            <w:noWrap/>
            <w:vAlign w:val="center"/>
            <w:hideMark/>
          </w:tcPr>
          <w:p w14:paraId="62272094"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115 </w:t>
            </w:r>
          </w:p>
        </w:tc>
        <w:tc>
          <w:tcPr>
            <w:tcW w:w="1320" w:type="dxa"/>
            <w:tcBorders>
              <w:top w:val="nil"/>
              <w:left w:val="nil"/>
              <w:bottom w:val="nil"/>
              <w:right w:val="nil"/>
            </w:tcBorders>
            <w:shd w:val="clear" w:color="auto" w:fill="auto"/>
            <w:noWrap/>
            <w:vAlign w:val="center"/>
            <w:hideMark/>
          </w:tcPr>
          <w:p w14:paraId="1219C401"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201 </w:t>
            </w:r>
          </w:p>
        </w:tc>
        <w:tc>
          <w:tcPr>
            <w:tcW w:w="5180" w:type="dxa"/>
            <w:tcBorders>
              <w:top w:val="nil"/>
              <w:left w:val="nil"/>
              <w:bottom w:val="nil"/>
              <w:right w:val="nil"/>
            </w:tcBorders>
            <w:shd w:val="clear" w:color="auto" w:fill="auto"/>
            <w:noWrap/>
            <w:vAlign w:val="center"/>
            <w:hideMark/>
          </w:tcPr>
          <w:p w14:paraId="018125F8" w14:textId="77777777" w:rsidR="00DB60B8" w:rsidRPr="00DB60B8" w:rsidRDefault="00DB60B8" w:rsidP="00DB60B8">
            <w:pPr>
              <w:spacing w:after="0"/>
              <w:rPr>
                <w:rFonts w:ascii="Open Sans" w:eastAsia="Times New Roman" w:hAnsi="Open Sans" w:cs="Open Sans"/>
                <w:color w:val="333333"/>
                <w:sz w:val="20"/>
                <w:szCs w:val="20"/>
              </w:rPr>
            </w:pPr>
            <w:r w:rsidRPr="00DB60B8">
              <w:rPr>
                <w:rFonts w:ascii="Open Sans" w:eastAsia="Times New Roman" w:hAnsi="Open Sans" w:cs="Open Sans"/>
                <w:color w:val="333333"/>
                <w:sz w:val="20"/>
                <w:szCs w:val="20"/>
              </w:rPr>
              <w:t>The median number of backers</w:t>
            </w:r>
          </w:p>
        </w:tc>
      </w:tr>
      <w:tr w:rsidR="00DB60B8" w:rsidRPr="00DB60B8" w14:paraId="7FD71A30" w14:textId="77777777" w:rsidTr="00DB60B8">
        <w:trPr>
          <w:trHeight w:val="312"/>
          <w:jc w:val="center"/>
        </w:trPr>
        <w:tc>
          <w:tcPr>
            <w:tcW w:w="1360" w:type="dxa"/>
            <w:tcBorders>
              <w:top w:val="nil"/>
              <w:left w:val="nil"/>
              <w:bottom w:val="nil"/>
              <w:right w:val="nil"/>
            </w:tcBorders>
            <w:shd w:val="clear" w:color="auto" w:fill="auto"/>
            <w:noWrap/>
            <w:vAlign w:val="center"/>
            <w:hideMark/>
          </w:tcPr>
          <w:p w14:paraId="065A567B"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   </w:t>
            </w:r>
          </w:p>
        </w:tc>
        <w:tc>
          <w:tcPr>
            <w:tcW w:w="1320" w:type="dxa"/>
            <w:tcBorders>
              <w:top w:val="nil"/>
              <w:left w:val="nil"/>
              <w:bottom w:val="nil"/>
              <w:right w:val="nil"/>
            </w:tcBorders>
            <w:shd w:val="clear" w:color="auto" w:fill="auto"/>
            <w:noWrap/>
            <w:vAlign w:val="center"/>
            <w:hideMark/>
          </w:tcPr>
          <w:p w14:paraId="52B4658E"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16 </w:t>
            </w:r>
          </w:p>
        </w:tc>
        <w:tc>
          <w:tcPr>
            <w:tcW w:w="5180" w:type="dxa"/>
            <w:tcBorders>
              <w:top w:val="nil"/>
              <w:left w:val="nil"/>
              <w:bottom w:val="nil"/>
              <w:right w:val="nil"/>
            </w:tcBorders>
            <w:shd w:val="clear" w:color="auto" w:fill="auto"/>
            <w:noWrap/>
            <w:vAlign w:val="center"/>
            <w:hideMark/>
          </w:tcPr>
          <w:p w14:paraId="6DA8CD41" w14:textId="77777777" w:rsidR="00DB60B8" w:rsidRPr="00DB60B8" w:rsidRDefault="00DB60B8" w:rsidP="00DB60B8">
            <w:pPr>
              <w:spacing w:after="0"/>
              <w:rPr>
                <w:rFonts w:ascii="Open Sans" w:eastAsia="Times New Roman" w:hAnsi="Open Sans" w:cs="Open Sans"/>
                <w:color w:val="333333"/>
                <w:sz w:val="20"/>
                <w:szCs w:val="20"/>
              </w:rPr>
            </w:pPr>
            <w:r w:rsidRPr="00DB60B8">
              <w:rPr>
                <w:rFonts w:ascii="Open Sans" w:eastAsia="Times New Roman" w:hAnsi="Open Sans" w:cs="Open Sans"/>
                <w:color w:val="333333"/>
                <w:sz w:val="20"/>
                <w:szCs w:val="20"/>
              </w:rPr>
              <w:t>The minimum number of backers</w:t>
            </w:r>
          </w:p>
        </w:tc>
      </w:tr>
      <w:tr w:rsidR="00DB60B8" w:rsidRPr="00DB60B8" w14:paraId="7E4A6155" w14:textId="77777777" w:rsidTr="00DB60B8">
        <w:trPr>
          <w:trHeight w:val="312"/>
          <w:jc w:val="center"/>
        </w:trPr>
        <w:tc>
          <w:tcPr>
            <w:tcW w:w="1360" w:type="dxa"/>
            <w:tcBorders>
              <w:top w:val="nil"/>
              <w:left w:val="nil"/>
              <w:bottom w:val="nil"/>
              <w:right w:val="nil"/>
            </w:tcBorders>
            <w:shd w:val="clear" w:color="auto" w:fill="auto"/>
            <w:noWrap/>
            <w:vAlign w:val="center"/>
            <w:hideMark/>
          </w:tcPr>
          <w:p w14:paraId="7A14B312"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6,080 </w:t>
            </w:r>
          </w:p>
        </w:tc>
        <w:tc>
          <w:tcPr>
            <w:tcW w:w="1320" w:type="dxa"/>
            <w:tcBorders>
              <w:top w:val="nil"/>
              <w:left w:val="nil"/>
              <w:bottom w:val="nil"/>
              <w:right w:val="nil"/>
            </w:tcBorders>
            <w:shd w:val="clear" w:color="auto" w:fill="auto"/>
            <w:noWrap/>
            <w:vAlign w:val="center"/>
            <w:hideMark/>
          </w:tcPr>
          <w:p w14:paraId="0726C1B0"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7,295 </w:t>
            </w:r>
          </w:p>
        </w:tc>
        <w:tc>
          <w:tcPr>
            <w:tcW w:w="5180" w:type="dxa"/>
            <w:tcBorders>
              <w:top w:val="nil"/>
              <w:left w:val="nil"/>
              <w:bottom w:val="nil"/>
              <w:right w:val="nil"/>
            </w:tcBorders>
            <w:shd w:val="clear" w:color="auto" w:fill="auto"/>
            <w:noWrap/>
            <w:vAlign w:val="center"/>
            <w:hideMark/>
          </w:tcPr>
          <w:p w14:paraId="74E1320F" w14:textId="77777777" w:rsidR="00DB60B8" w:rsidRPr="00DB60B8" w:rsidRDefault="00DB60B8" w:rsidP="00DB60B8">
            <w:pPr>
              <w:spacing w:after="0"/>
              <w:rPr>
                <w:rFonts w:ascii="Open Sans" w:eastAsia="Times New Roman" w:hAnsi="Open Sans" w:cs="Open Sans"/>
                <w:color w:val="333333"/>
                <w:sz w:val="20"/>
                <w:szCs w:val="20"/>
              </w:rPr>
            </w:pPr>
            <w:r w:rsidRPr="00DB60B8">
              <w:rPr>
                <w:rFonts w:ascii="Open Sans" w:eastAsia="Times New Roman" w:hAnsi="Open Sans" w:cs="Open Sans"/>
                <w:color w:val="333333"/>
                <w:sz w:val="20"/>
                <w:szCs w:val="20"/>
              </w:rPr>
              <w:t>The maximum number of backers</w:t>
            </w:r>
          </w:p>
        </w:tc>
      </w:tr>
      <w:tr w:rsidR="00DB60B8" w:rsidRPr="00DB60B8" w14:paraId="6A7FC8F8" w14:textId="77777777" w:rsidTr="00DB60B8">
        <w:trPr>
          <w:trHeight w:val="312"/>
          <w:jc w:val="center"/>
        </w:trPr>
        <w:tc>
          <w:tcPr>
            <w:tcW w:w="1360" w:type="dxa"/>
            <w:tcBorders>
              <w:top w:val="nil"/>
              <w:left w:val="nil"/>
              <w:bottom w:val="nil"/>
              <w:right w:val="nil"/>
            </w:tcBorders>
            <w:shd w:val="clear" w:color="auto" w:fill="auto"/>
            <w:noWrap/>
            <w:vAlign w:val="center"/>
            <w:hideMark/>
          </w:tcPr>
          <w:p w14:paraId="0684EBB3"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921,575 </w:t>
            </w:r>
          </w:p>
        </w:tc>
        <w:tc>
          <w:tcPr>
            <w:tcW w:w="1320" w:type="dxa"/>
            <w:tcBorders>
              <w:top w:val="nil"/>
              <w:left w:val="nil"/>
              <w:bottom w:val="nil"/>
              <w:right w:val="nil"/>
            </w:tcBorders>
            <w:shd w:val="clear" w:color="auto" w:fill="auto"/>
            <w:noWrap/>
            <w:vAlign w:val="center"/>
            <w:hideMark/>
          </w:tcPr>
          <w:p w14:paraId="3452E235"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1,603,374 </w:t>
            </w:r>
          </w:p>
        </w:tc>
        <w:tc>
          <w:tcPr>
            <w:tcW w:w="5180" w:type="dxa"/>
            <w:tcBorders>
              <w:top w:val="nil"/>
              <w:left w:val="nil"/>
              <w:bottom w:val="nil"/>
              <w:right w:val="nil"/>
            </w:tcBorders>
            <w:shd w:val="clear" w:color="auto" w:fill="auto"/>
            <w:noWrap/>
            <w:vAlign w:val="center"/>
            <w:hideMark/>
          </w:tcPr>
          <w:p w14:paraId="6ABCDD39" w14:textId="77777777" w:rsidR="00DB60B8" w:rsidRPr="00DB60B8" w:rsidRDefault="00DB60B8" w:rsidP="00DB60B8">
            <w:pPr>
              <w:spacing w:after="0"/>
              <w:rPr>
                <w:rFonts w:ascii="Open Sans" w:eastAsia="Times New Roman" w:hAnsi="Open Sans" w:cs="Open Sans"/>
                <w:color w:val="333333"/>
                <w:sz w:val="20"/>
                <w:szCs w:val="20"/>
              </w:rPr>
            </w:pPr>
            <w:r w:rsidRPr="00DB60B8">
              <w:rPr>
                <w:rFonts w:ascii="Open Sans" w:eastAsia="Times New Roman" w:hAnsi="Open Sans" w:cs="Open Sans"/>
                <w:color w:val="333333"/>
                <w:sz w:val="20"/>
                <w:szCs w:val="20"/>
              </w:rPr>
              <w:t>The variance of the number of backers</w:t>
            </w:r>
          </w:p>
        </w:tc>
      </w:tr>
      <w:tr w:rsidR="00DB60B8" w:rsidRPr="00DB60B8" w14:paraId="02D83B0D" w14:textId="77777777" w:rsidTr="00DB60B8">
        <w:trPr>
          <w:trHeight w:val="312"/>
          <w:jc w:val="center"/>
        </w:trPr>
        <w:tc>
          <w:tcPr>
            <w:tcW w:w="1360" w:type="dxa"/>
            <w:tcBorders>
              <w:top w:val="nil"/>
              <w:left w:val="nil"/>
              <w:bottom w:val="nil"/>
              <w:right w:val="nil"/>
            </w:tcBorders>
            <w:shd w:val="clear" w:color="auto" w:fill="auto"/>
            <w:noWrap/>
            <w:vAlign w:val="center"/>
            <w:hideMark/>
          </w:tcPr>
          <w:p w14:paraId="434DB633"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960 </w:t>
            </w:r>
          </w:p>
        </w:tc>
        <w:tc>
          <w:tcPr>
            <w:tcW w:w="1320" w:type="dxa"/>
            <w:tcBorders>
              <w:top w:val="nil"/>
              <w:left w:val="nil"/>
              <w:bottom w:val="nil"/>
              <w:right w:val="nil"/>
            </w:tcBorders>
            <w:shd w:val="clear" w:color="auto" w:fill="auto"/>
            <w:noWrap/>
            <w:vAlign w:val="center"/>
            <w:hideMark/>
          </w:tcPr>
          <w:p w14:paraId="17538FC8" w14:textId="77777777" w:rsidR="00DB60B8" w:rsidRPr="00DB60B8" w:rsidRDefault="00DB60B8" w:rsidP="00DB60B8">
            <w:pPr>
              <w:spacing w:after="0"/>
              <w:jc w:val="center"/>
              <w:rPr>
                <w:rFonts w:ascii="Calibri" w:eastAsia="Times New Roman" w:hAnsi="Calibri" w:cs="Calibri"/>
                <w:color w:val="000000"/>
              </w:rPr>
            </w:pPr>
            <w:r w:rsidRPr="00DB60B8">
              <w:rPr>
                <w:rFonts w:ascii="Calibri" w:eastAsia="Times New Roman" w:hAnsi="Calibri" w:cs="Calibri"/>
                <w:color w:val="000000"/>
              </w:rPr>
              <w:t xml:space="preserve">          1,266 </w:t>
            </w:r>
          </w:p>
        </w:tc>
        <w:tc>
          <w:tcPr>
            <w:tcW w:w="5180" w:type="dxa"/>
            <w:tcBorders>
              <w:top w:val="nil"/>
              <w:left w:val="nil"/>
              <w:bottom w:val="nil"/>
              <w:right w:val="nil"/>
            </w:tcBorders>
            <w:shd w:val="clear" w:color="auto" w:fill="auto"/>
            <w:noWrap/>
            <w:vAlign w:val="center"/>
            <w:hideMark/>
          </w:tcPr>
          <w:p w14:paraId="7BBFA98B" w14:textId="77777777" w:rsidR="00DB60B8" w:rsidRPr="00DB60B8" w:rsidRDefault="00DB60B8" w:rsidP="00DB60B8">
            <w:pPr>
              <w:spacing w:after="0"/>
              <w:rPr>
                <w:rFonts w:ascii="Open Sans" w:eastAsia="Times New Roman" w:hAnsi="Open Sans" w:cs="Open Sans"/>
                <w:color w:val="333333"/>
                <w:sz w:val="20"/>
                <w:szCs w:val="20"/>
              </w:rPr>
            </w:pPr>
            <w:r w:rsidRPr="00DB60B8">
              <w:rPr>
                <w:rFonts w:ascii="Open Sans" w:eastAsia="Times New Roman" w:hAnsi="Open Sans" w:cs="Open Sans"/>
                <w:color w:val="333333"/>
                <w:sz w:val="20"/>
                <w:szCs w:val="20"/>
              </w:rPr>
              <w:t>The standard deviation of the number of backers</w:t>
            </w:r>
          </w:p>
        </w:tc>
      </w:tr>
    </w:tbl>
    <w:p w14:paraId="53314C69" w14:textId="1FD836A3" w:rsidR="00DB60B8" w:rsidRDefault="00DB60B8" w:rsidP="00DB60B8">
      <w:pPr>
        <w:pStyle w:val="BodyText"/>
      </w:pPr>
      <w:r>
        <w:t xml:space="preserve">Between mean and median, it still seems that the successful entries have a ratio of 2 to 1 failed entry. In my opinion you could use both or either to represent this dataset depending on the scale of the conversation (tens or hundreds). </w:t>
      </w:r>
    </w:p>
    <w:p w14:paraId="44B4DD1D" w14:textId="0D6117D5" w:rsidR="0050740E" w:rsidRDefault="00991F9C" w:rsidP="00DB60B8">
      <w:pPr>
        <w:pStyle w:val="BodyText"/>
      </w:pPr>
      <w:r>
        <w:t>In terms of the upper quartile projects as it relates to number of backers, there is between 1.3-1.7 times the number of backers in successful campaigns than in failed campaigns. This is in comparison to the median/mean, middle quartiles, where there is not much significant difference. Given the numbers of this crowdfunding platform, one could say that once passing the 1,000 backer count there is less than 50% chance the project will get funded.</w:t>
      </w:r>
    </w:p>
    <w:p w14:paraId="18AAA84A" w14:textId="6A8554A5" w:rsidR="00DB60B8" w:rsidRPr="00DB60B8" w:rsidRDefault="00991F9C" w:rsidP="00991F9C">
      <w:pPr>
        <w:pStyle w:val="BodyText"/>
        <w:jc w:val="center"/>
      </w:pPr>
      <w:r w:rsidRPr="00991F9C">
        <w:drawing>
          <wp:inline distT="0" distB="0" distL="0" distR="0" wp14:anchorId="77C203FA" wp14:editId="78EB00A9">
            <wp:extent cx="4358640" cy="4212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333"/>
                    <a:stretch/>
                  </pic:blipFill>
                  <pic:spPr bwMode="auto">
                    <a:xfrm>
                      <a:off x="0" y="0"/>
                      <a:ext cx="4359111" cy="4213123"/>
                    </a:xfrm>
                    <a:prstGeom prst="rect">
                      <a:avLst/>
                    </a:prstGeom>
                    <a:ln>
                      <a:noFill/>
                    </a:ln>
                    <a:extLst>
                      <a:ext uri="{53640926-AAD7-44D8-BBD7-CCE9431645EC}">
                        <a14:shadowObscured xmlns:a14="http://schemas.microsoft.com/office/drawing/2010/main"/>
                      </a:ext>
                    </a:extLst>
                  </pic:spPr>
                </pic:pic>
              </a:graphicData>
            </a:graphic>
          </wp:inline>
        </w:drawing>
      </w:r>
    </w:p>
    <w:sectPr w:rsidR="00DB60B8" w:rsidRPr="00DB60B8">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1288" w14:textId="77777777" w:rsidR="00201514" w:rsidRDefault="00201514">
      <w:pPr>
        <w:spacing w:after="0"/>
      </w:pPr>
      <w:r>
        <w:separator/>
      </w:r>
    </w:p>
  </w:endnote>
  <w:endnote w:type="continuationSeparator" w:id="0">
    <w:p w14:paraId="206A916C" w14:textId="77777777" w:rsidR="00201514" w:rsidRDefault="002015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B5756" w14:textId="77777777" w:rsidR="00201514" w:rsidRDefault="00201514">
      <w:r>
        <w:separator/>
      </w:r>
    </w:p>
  </w:footnote>
  <w:footnote w:type="continuationSeparator" w:id="0">
    <w:p w14:paraId="5A229F77" w14:textId="77777777" w:rsidR="00201514" w:rsidRDefault="00201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3772" w14:textId="755B8865" w:rsidR="00A761BB" w:rsidRDefault="00A761BB" w:rsidP="00A761BB">
    <w:pPr>
      <w:pStyle w:val="BlockText"/>
      <w:ind w:left="0"/>
    </w:pPr>
    <w:r>
      <w:t>Report generated by Alberto Ponce</w:t>
    </w:r>
    <w:r>
      <w:tab/>
    </w:r>
    <w:r>
      <w:tab/>
    </w:r>
    <w:r>
      <w:tab/>
    </w:r>
    <w:r>
      <w:tab/>
    </w:r>
    <w:r>
      <w:tab/>
    </w:r>
    <w:r>
      <w:tab/>
      <w:t>March 17, 2023</w:t>
    </w:r>
  </w:p>
  <w:p w14:paraId="15278702" w14:textId="77777777" w:rsidR="00A761BB" w:rsidRDefault="00A76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79615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0228D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FC65C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03478044">
    <w:abstractNumId w:val="0"/>
  </w:num>
  <w:num w:numId="2" w16cid:durableId="331875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8609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7655320">
    <w:abstractNumId w:val="1"/>
  </w:num>
  <w:num w:numId="5" w16cid:durableId="715394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27C4"/>
    <w:rsid w:val="00065BEF"/>
    <w:rsid w:val="00201514"/>
    <w:rsid w:val="0050740E"/>
    <w:rsid w:val="00597C58"/>
    <w:rsid w:val="00652166"/>
    <w:rsid w:val="00714D37"/>
    <w:rsid w:val="00991F9C"/>
    <w:rsid w:val="00A761BB"/>
    <w:rsid w:val="00B42A1F"/>
    <w:rsid w:val="00DB60B8"/>
    <w:rsid w:val="00ED3DA7"/>
    <w:rsid w:val="00F627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8EBE"/>
  <w15:docId w15:val="{D265B01E-7C43-45F3-BCC0-6392C798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761BB"/>
    <w:pPr>
      <w:tabs>
        <w:tab w:val="center" w:pos="4680"/>
        <w:tab w:val="right" w:pos="9360"/>
      </w:tabs>
      <w:spacing w:after="0"/>
    </w:pPr>
  </w:style>
  <w:style w:type="character" w:customStyle="1" w:styleId="HeaderChar">
    <w:name w:val="Header Char"/>
    <w:basedOn w:val="DefaultParagraphFont"/>
    <w:link w:val="Header"/>
    <w:rsid w:val="00A761BB"/>
  </w:style>
  <w:style w:type="paragraph" w:styleId="Footer">
    <w:name w:val="footer"/>
    <w:basedOn w:val="Normal"/>
    <w:link w:val="FooterChar"/>
    <w:unhideWhenUsed/>
    <w:rsid w:val="00A761BB"/>
    <w:pPr>
      <w:tabs>
        <w:tab w:val="center" w:pos="4680"/>
        <w:tab w:val="right" w:pos="9360"/>
      </w:tabs>
      <w:spacing w:after="0"/>
    </w:pPr>
  </w:style>
  <w:style w:type="character" w:customStyle="1" w:styleId="FooterChar">
    <w:name w:val="Footer Char"/>
    <w:basedOn w:val="DefaultParagraphFont"/>
    <w:link w:val="Footer"/>
    <w:rsid w:val="00A76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9618">
      <w:bodyDiv w:val="1"/>
      <w:marLeft w:val="0"/>
      <w:marRight w:val="0"/>
      <w:marTop w:val="0"/>
      <w:marBottom w:val="0"/>
      <w:divBdr>
        <w:top w:val="none" w:sz="0" w:space="0" w:color="auto"/>
        <w:left w:val="none" w:sz="0" w:space="0" w:color="auto"/>
        <w:bottom w:val="none" w:sz="0" w:space="0" w:color="auto"/>
        <w:right w:val="none" w:sz="0" w:space="0" w:color="auto"/>
      </w:divBdr>
    </w:div>
    <w:div w:id="1099333421">
      <w:bodyDiv w:val="1"/>
      <w:marLeft w:val="0"/>
      <w:marRight w:val="0"/>
      <w:marTop w:val="0"/>
      <w:marBottom w:val="0"/>
      <w:divBdr>
        <w:top w:val="none" w:sz="0" w:space="0" w:color="auto"/>
        <w:left w:val="none" w:sz="0" w:space="0" w:color="auto"/>
        <w:bottom w:val="none" w:sz="0" w:space="0" w:color="auto"/>
        <w:right w:val="none" w:sz="0" w:space="0" w:color="auto"/>
      </w:divBdr>
    </w:div>
    <w:div w:id="1886523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7138\Dropbox\GRADRICE%20-%20DA\Challenges\WC01\CrowdfundingBook_AP_submissions_v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a:t>
            </a:r>
            <a:r>
              <a:rPr lang="en-US" baseline="0"/>
              <a:t> on Goals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Goals!$K$19</c:f>
              <c:strCache>
                <c:ptCount val="1"/>
                <c:pt idx="0">
                  <c:v>Percent Sucessful</c:v>
                </c:pt>
              </c:strCache>
            </c:strRef>
          </c:tx>
          <c:spPr>
            <a:ln w="28575" cap="rnd">
              <a:solidFill>
                <a:schemeClr val="accent1"/>
              </a:solidFill>
              <a:round/>
            </a:ln>
            <a:effectLst/>
          </c:spPr>
          <c:marker>
            <c:symbol val="none"/>
          </c:marker>
          <c:cat>
            <c:strRef>
              <c:f>Goals!$D$20:$D$31</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Goals!$K$20:$K$31</c:f>
              <c:numCache>
                <c:formatCode>0%</c:formatCode>
                <c:ptCount val="12"/>
                <c:pt idx="0">
                  <c:v>0.58823529411764708</c:v>
                </c:pt>
                <c:pt idx="1">
                  <c:v>0.81623931623931623</c:v>
                </c:pt>
                <c:pt idx="2">
                  <c:v>0.51735015772870663</c:v>
                </c:pt>
                <c:pt idx="3">
                  <c:v>0.44444444444444442</c:v>
                </c:pt>
                <c:pt idx="4">
                  <c:v>1</c:v>
                </c:pt>
                <c:pt idx="5">
                  <c:v>1</c:v>
                </c:pt>
                <c:pt idx="6">
                  <c:v>0.7857142857142857</c:v>
                </c:pt>
                <c:pt idx="7">
                  <c:v>1</c:v>
                </c:pt>
                <c:pt idx="8">
                  <c:v>0.66666666666666663</c:v>
                </c:pt>
                <c:pt idx="9">
                  <c:v>0.73333333333333328</c:v>
                </c:pt>
                <c:pt idx="10">
                  <c:v>0.72727272727272729</c:v>
                </c:pt>
                <c:pt idx="11">
                  <c:v>0.36421725239616615</c:v>
                </c:pt>
              </c:numCache>
            </c:numRef>
          </c:val>
          <c:smooth val="0"/>
          <c:extLst>
            <c:ext xmlns:c16="http://schemas.microsoft.com/office/drawing/2014/chart" uri="{C3380CC4-5D6E-409C-BE32-E72D297353CC}">
              <c16:uniqueId val="{00000000-0F37-490B-950C-5EB3C7AF2D55}"/>
            </c:ext>
          </c:extLst>
        </c:ser>
        <c:ser>
          <c:idx val="1"/>
          <c:order val="1"/>
          <c:tx>
            <c:strRef>
              <c:f>Goals!$L$19</c:f>
              <c:strCache>
                <c:ptCount val="1"/>
                <c:pt idx="0">
                  <c:v>Percent Failed</c:v>
                </c:pt>
              </c:strCache>
            </c:strRef>
          </c:tx>
          <c:spPr>
            <a:ln w="28575" cap="rnd">
              <a:solidFill>
                <a:schemeClr val="accent4">
                  <a:lumMod val="60000"/>
                  <a:lumOff val="40000"/>
                </a:schemeClr>
              </a:solidFill>
              <a:round/>
            </a:ln>
            <a:effectLst/>
          </c:spPr>
          <c:marker>
            <c:symbol val="none"/>
          </c:marker>
          <c:cat>
            <c:strRef>
              <c:f>Goals!$D$20:$D$31</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Goals!$L$20:$L$31</c:f>
              <c:numCache>
                <c:formatCode>0%</c:formatCode>
                <c:ptCount val="12"/>
                <c:pt idx="0">
                  <c:v>0.39215686274509803</c:v>
                </c:pt>
                <c:pt idx="1">
                  <c:v>0.1623931623931624</c:v>
                </c:pt>
                <c:pt idx="2">
                  <c:v>0.39747634069400634</c:v>
                </c:pt>
                <c:pt idx="3">
                  <c:v>0.55555555555555558</c:v>
                </c:pt>
                <c:pt idx="4">
                  <c:v>0</c:v>
                </c:pt>
                <c:pt idx="5">
                  <c:v>0</c:v>
                </c:pt>
                <c:pt idx="6">
                  <c:v>0.21428571428571427</c:v>
                </c:pt>
                <c:pt idx="7">
                  <c:v>0</c:v>
                </c:pt>
                <c:pt idx="8">
                  <c:v>0.25</c:v>
                </c:pt>
                <c:pt idx="9">
                  <c:v>0.2</c:v>
                </c:pt>
                <c:pt idx="10">
                  <c:v>0.27272727272727271</c:v>
                </c:pt>
                <c:pt idx="11">
                  <c:v>0.52076677316293929</c:v>
                </c:pt>
              </c:numCache>
            </c:numRef>
          </c:val>
          <c:smooth val="0"/>
          <c:extLst>
            <c:ext xmlns:c16="http://schemas.microsoft.com/office/drawing/2014/chart" uri="{C3380CC4-5D6E-409C-BE32-E72D297353CC}">
              <c16:uniqueId val="{00000001-0F37-490B-950C-5EB3C7AF2D55}"/>
            </c:ext>
          </c:extLst>
        </c:ser>
        <c:ser>
          <c:idx val="2"/>
          <c:order val="2"/>
          <c:tx>
            <c:strRef>
              <c:f>Goals!$M$19</c:f>
              <c:strCache>
                <c:ptCount val="1"/>
                <c:pt idx="0">
                  <c:v>Percent Cancelled</c:v>
                </c:pt>
              </c:strCache>
            </c:strRef>
          </c:tx>
          <c:spPr>
            <a:ln w="28575" cap="rnd">
              <a:solidFill>
                <a:schemeClr val="accent2">
                  <a:lumMod val="60000"/>
                  <a:lumOff val="40000"/>
                </a:schemeClr>
              </a:solidFill>
              <a:round/>
            </a:ln>
            <a:effectLst/>
          </c:spPr>
          <c:marker>
            <c:symbol val="none"/>
          </c:marker>
          <c:cat>
            <c:strRef>
              <c:f>Goals!$D$20:$D$31</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Goals!$M$20:$M$31</c:f>
              <c:numCache>
                <c:formatCode>0%</c:formatCode>
                <c:ptCount val="12"/>
                <c:pt idx="0">
                  <c:v>1.9607843137254902E-2</c:v>
                </c:pt>
                <c:pt idx="1">
                  <c:v>8.5470085470085479E-3</c:v>
                </c:pt>
                <c:pt idx="2">
                  <c:v>7.8864353312302835E-2</c:v>
                </c:pt>
                <c:pt idx="3">
                  <c:v>0</c:v>
                </c:pt>
                <c:pt idx="4">
                  <c:v>0</c:v>
                </c:pt>
                <c:pt idx="5">
                  <c:v>0</c:v>
                </c:pt>
                <c:pt idx="6">
                  <c:v>0</c:v>
                </c:pt>
                <c:pt idx="7">
                  <c:v>0</c:v>
                </c:pt>
                <c:pt idx="8">
                  <c:v>8.3333333333333329E-2</c:v>
                </c:pt>
                <c:pt idx="9">
                  <c:v>0</c:v>
                </c:pt>
                <c:pt idx="10">
                  <c:v>0</c:v>
                </c:pt>
                <c:pt idx="11">
                  <c:v>8.9456869009584661E-2</c:v>
                </c:pt>
              </c:numCache>
            </c:numRef>
          </c:val>
          <c:smooth val="0"/>
          <c:extLst>
            <c:ext xmlns:c16="http://schemas.microsoft.com/office/drawing/2014/chart" uri="{C3380CC4-5D6E-409C-BE32-E72D297353CC}">
              <c16:uniqueId val="{00000002-0F37-490B-950C-5EB3C7AF2D55}"/>
            </c:ext>
          </c:extLst>
        </c:ser>
        <c:dLbls>
          <c:showLegendKey val="0"/>
          <c:showVal val="0"/>
          <c:showCatName val="0"/>
          <c:showSerName val="0"/>
          <c:showPercent val="0"/>
          <c:showBubbleSize val="0"/>
        </c:dLbls>
        <c:smooth val="0"/>
        <c:axId val="1852354384"/>
        <c:axId val="1720778016"/>
      </c:lineChart>
      <c:catAx>
        <c:axId val="185235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778016"/>
        <c:crosses val="autoZero"/>
        <c:auto val="1"/>
        <c:lblAlgn val="ctr"/>
        <c:lblOffset val="100"/>
        <c:noMultiLvlLbl val="0"/>
      </c:catAx>
      <c:valAx>
        <c:axId val="17207780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35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Kristina Ponce</cp:lastModifiedBy>
  <cp:revision>5</cp:revision>
  <dcterms:created xsi:type="dcterms:W3CDTF">2023-03-17T21:54:00Z</dcterms:created>
  <dcterms:modified xsi:type="dcterms:W3CDTF">2023-03-19T02:09:00Z</dcterms:modified>
</cp:coreProperties>
</file>