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rFonts w:ascii="Calibri" w:hAnsi="Calibri"/>
          <w:b/>
          <w:sz w:val="48"/>
          <w:color w:val="0F274A"/>
        </w:rPr>
        <w:t>SAHABAT SEKOLAH — KOTA BUKITTINGGI</w:t>
      </w:r>
    </w:p>
    <w:p>
      <w:pPr>
        <w:jc w:val="center"/>
        <w:spacing w:before="0" w:after="360"/>
      </w:pPr>
      <w:r>
        <w:rPr>
          <w:rFonts w:ascii="Calibri" w:hAnsi="Calibri"/>
          <w:i/>
          <w:sz w:val="26"/>
          <w:color w:val="3B82F6"/>
        </w:rPr>
        <w:t>Panduan Operasional &amp; Tata Cara Penggunaan Sistem bagi Guru Bimbingan dan Konseling (BK)</w:t>
      </w:r>
    </w:p>
    <w:tbl>
      <w:tblPr>
        <w:tblW w:w="9600" w:type="dxa"/>
        <w:jc w:val="center"/>
        <w:tblBorders>
          <w:top w:val="single" w:sz="6" w:space="0" w:color="CBD5E1"/>
          <w:left w:val="none"/>
          <w:bottom w:val="single" w:sz="6" w:space="0" w:color="CBD5E1"/>
          <w:right w:val="none"/>
          <w:insideH w:val="single" w:sz="4" w:space="0" w:color="E2E8F0"/>
          <w:insideV w:val="none"/>
        </w:tblBorders>
        <w:tblCellMar>
          <w:top w:w="120" w:type="dxa"/>
          <w:bottom w:w="120" w:type="dxa"/>
          <w:left w:w="180" w:type="dxa"/>
          <w:right w:w="180" w:type="dxa"/>
        </w:tblCellMar>
      </w:tblPr>
      <w:tr>
        <w:tc>
          <w:tcPr>
            <w:tcW w:w="2800" w:type="dxa"/>
            <w:shd w:val="clear" w:color="auto" w:fill="F1F5F9"/>
          </w:tcPr>
          <w:p>
            <w:pPr>
              <w:spacing w:before="60" w:after="60"/>
            </w:pPr>
            <w:r>
              <w:rPr>
                <w:b/>
                <w:sz w:val="20"/>
                <w:color w:val="1E293B"/>
              </w:rPr>
              <w:t>Nama Dokumen</w:t>
            </w:r>
          </w:p>
        </w:tc>
        <w:tc>
          <w:tcPr>
            <w:tcW w:w="6800" w:type="dxa"/>
          </w:tcPr>
          <w:p>
            <w:pPr>
              <w:spacing w:before="60" w:after="60"/>
            </w:pPr>
            <w:r>
              <w:rPr>
                <w:sz w:val="20"/>
                <w:color w:val="334155"/>
              </w:rPr>
              <w:t>Buku Panduan Pengguna — Peran Guru Bimbingan dan Konseling (COUNSELOR)</w:t>
            </w:r>
          </w:p>
        </w:tc>
      </w:tr>
      <w:tr>
        <w:tc>
          <w:tcPr>
            <w:tcW w:w="2800" w:type="dxa"/>
            <w:shd w:val="clear" w:color="auto" w:fill="F1F5F9"/>
          </w:tcPr>
          <w:p>
            <w:pPr>
              <w:spacing w:before="60" w:after="60"/>
            </w:pPr>
            <w:r>
              <w:rPr>
                <w:b/>
                <w:sz w:val="20"/>
                <w:color w:val="1E293B"/>
              </w:rPr>
              <w:t>Platform</w:t>
            </w:r>
          </w:p>
        </w:tc>
        <w:tc>
          <w:tcPr>
            <w:tcW w:w="6800" w:type="dxa"/>
          </w:tcPr>
          <w:p>
            <w:pPr>
              <w:spacing w:before="60" w:after="60"/>
            </w:pPr>
            <w:r>
              <w:rPr>
                <w:sz w:val="20"/>
                <w:color w:val="334155"/>
              </w:rPr>
              <w:t>SAHABAT SEKOLAH (Case Management System Penanganan Kekerasan)</w:t>
            </w:r>
          </w:p>
        </w:tc>
      </w:tr>
      <w:tr>
        <w:tc>
          <w:tcPr>
            <w:tcW w:w="2800" w:type="dxa"/>
            <w:shd w:val="clear" w:color="auto" w:fill="F1F5F9"/>
          </w:tcPr>
          <w:p>
            <w:pPr>
              <w:spacing w:before="60" w:after="60"/>
            </w:pPr>
            <w:r>
              <w:rPr>
                <w:b/>
                <w:sz w:val="20"/>
                <w:color w:val="1E293B"/>
              </w:rPr>
              <w:t>Wilayah Implementasi</w:t>
            </w:r>
          </w:p>
        </w:tc>
        <w:tc>
          <w:tcPr>
            <w:tcW w:w="6800" w:type="dxa"/>
          </w:tcPr>
          <w:p>
            <w:pPr>
              <w:spacing w:before="60" w:after="60"/>
            </w:pPr>
            <w:r>
              <w:rPr>
                <w:sz w:val="20"/>
                <w:color w:val="334155"/>
              </w:rPr>
              <w:t>Satuan Pendidikan (SD, SMP, MTs, MIN) Kota Bukittinggi</w:t>
            </w:r>
          </w:p>
        </w:tc>
      </w:tr>
      <w:tr>
        <w:tc>
          <w:tcPr>
            <w:tcW w:w="2800" w:type="dxa"/>
            <w:shd w:val="clear" w:color="auto" w:fill="F1F5F9"/>
          </w:tcPr>
          <w:p>
            <w:pPr>
              <w:spacing w:before="60" w:after="60"/>
            </w:pPr>
            <w:r>
              <w:rPr>
                <w:b/>
                <w:sz w:val="20"/>
                <w:color w:val="1E293B"/>
              </w:rPr>
              <w:t>Dasar Hukum</w:t>
            </w:r>
          </w:p>
        </w:tc>
        <w:tc>
          <w:tcPr>
            <w:tcW w:w="6800" w:type="dxa"/>
          </w:tcPr>
          <w:p>
            <w:pPr>
              <w:spacing w:before="60" w:after="60"/>
            </w:pPr>
            <w:r>
              <w:rPr>
                <w:sz w:val="20"/>
                <w:color w:val="334155"/>
              </w:rPr>
              <w:t>Permendikbudristek No. 46 Tahun 2023 (PPKSP) &amp; Regulasi Pemkot Bukittinggi</w:t>
            </w:r>
          </w:p>
        </w:tc>
      </w:tr>
      <w:tr>
        <w:tc>
          <w:tcPr>
            <w:tcW w:w="2800" w:type="dxa"/>
            <w:shd w:val="clear" w:color="auto" w:fill="F1F5F9"/>
          </w:tcPr>
          <w:p>
            <w:pPr>
              <w:spacing w:before="60" w:after="60"/>
            </w:pPr>
            <w:r>
              <w:rPr>
                <w:b/>
                <w:sz w:val="20"/>
                <w:color w:val="1E293B"/>
              </w:rPr>
              <w:t>Peruntukan Role</w:t>
            </w:r>
          </w:p>
        </w:tc>
        <w:tc>
          <w:tcPr>
            <w:tcW w:w="6800" w:type="dxa"/>
          </w:tcPr>
          <w:p>
            <w:pPr>
              <w:spacing w:before="60" w:after="60"/>
            </w:pPr>
            <w:r>
              <w:rPr>
                <w:sz w:val="20"/>
                <w:color w:val="334155"/>
              </w:rPr>
              <w:t>Guru Bimbingan dan Konseling (BK) / Tim Pencegahan dan Penanganan Kekerasan (TPPK)</w:t>
            </w:r>
          </w:p>
        </w:tc>
      </w:tr>
      <w:tr>
        <w:tc>
          <w:tcPr>
            <w:tcW w:w="2800" w:type="dxa"/>
            <w:shd w:val="clear" w:color="auto" w:fill="F1F5F9"/>
          </w:tcPr>
          <w:p>
            <w:pPr>
              <w:spacing w:before="60" w:after="60"/>
            </w:pPr>
            <w:r>
              <w:rPr>
                <w:b/>
                <w:sz w:val="20"/>
                <w:color w:val="1E293B"/>
              </w:rPr>
              <w:t>Versi Panduan</w:t>
            </w:r>
          </w:p>
        </w:tc>
        <w:tc>
          <w:tcPr>
            <w:tcW w:w="6800" w:type="dxa"/>
          </w:tcPr>
          <w:p>
            <w:pPr>
              <w:spacing w:before="60" w:after="60"/>
            </w:pPr>
            <w:r>
              <w:rPr>
                <w:sz w:val="20"/>
                <w:color w:val="334155"/>
              </w:rPr>
              <w:t>1.0 (Oktober 2026)</w:t>
            </w:r>
          </w:p>
        </w:tc>
      </w:tr>
      <w:tr>
        <w:tc>
          <w:tcPr>
            <w:tcW w:w="2800" w:type="dxa"/>
            <w:shd w:val="clear" w:color="auto" w:fill="F1F5F9"/>
          </w:tcPr>
          <w:p>
            <w:pPr>
              <w:spacing w:before="60" w:after="60"/>
            </w:pPr>
            <w:r>
              <w:rPr>
                <w:b/>
                <w:sz w:val="20"/>
                <w:color w:val="1E293B"/>
              </w:rPr>
              <w:t>Klasifikasi Keamanan</w:t>
            </w:r>
          </w:p>
        </w:tc>
        <w:tc>
          <w:tcPr>
            <w:tcW w:w="6800" w:type="dxa"/>
          </w:tcPr>
          <w:p>
            <w:pPr>
              <w:spacing w:before="60" w:after="60"/>
            </w:pPr>
            <w:r>
              <w:rPr>
                <w:sz w:val="20"/>
                <w:color w:val="334155"/>
              </w:rPr>
              <w:t>Dokumen Kedinasan &amp; Penanganan Kasus (Terbatas &amp; Rahasia)</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 GAMBARAN UMUM PLATFORM SAHABAT SEKOLAH</w:t>
      </w:r>
    </w:p>
    <w:p>
      <w:pPr>
        <w:jc w:val="both"/>
        <w:spacing w:before="40" w:after="120" w:line="276" w:lineRule="auto"/>
      </w:pPr>
      <w:r>
        <w:rPr>
          <w:rFonts w:ascii="Calibri" w:hAnsi="Calibri"/>
          <w:sz w:val="22"/>
          <w:color w:val="334155"/>
        </w:rPr>
        <w:t xml:space="preserve">Platform Sahabat Sekolah dikembangkan oleh Pemerintah Kota Bukittinggi sebagai Case Management System (CMS) terintegrasi untuk pencegahan dan penanganan kekerasan di lingkungan satuan pendidikan. Sistem ini bukan sekadar kotak aduan digital biasa, melainkan platform komprehensif yang mengawal penanganan kasus dari hulu ke hilir dengan mengedepankan prinsip Zero Fear Reporting, akuntabilitas waktu respons (Service Level Agreement), dan kerahasiaan identitas anak.</w:t>
      </w:r>
    </w:p>
    <w:p>
      <w:pPr>
        <w:spacing w:before="280" w:after="100"/>
      </w:pPr>
      <w:r>
        <w:rPr>
          <w:rFonts w:ascii="Calibri" w:hAnsi="Calibri"/>
          <w:b/>
          <w:sz w:val="26"/>
          <w:color w:val="1E40AF"/>
        </w:rPr>
        <w:t>1.1. Filosofi &amp; Tiga Pilar Utama Sistem</w:t>
      </w:r>
    </w:p>
    <w:p>
      <w:pPr>
        <w:ind w:left="360" w:hanging="240"/>
        <w:spacing w:before="40" w:after="60" w:line="260" w:lineRule="auto"/>
      </w:pPr>
      <w:r>
        <w:rPr>
          <w:rFonts w:ascii="Symbol" w:hAnsi="Symbol"/>
          <w:color w:val="1D4ED8"/>
        </w:rPr>
        <w:t>  </w:t>
      </w:r>
      <w:r>
        <w:rPr>
          <w:b/>
          <w:color w:val="0F274A"/>
          <w:sz w:val="22"/>
        </w:rPr>
        <w:t xml:space="preserve">Zero Fear Reporting (Pelaporan Bebas Rasa Takut): </w:t>
      </w:r>
      <w:r>
        <w:rPr>
          <w:color w:val="334155"/>
          <w:sz w:val="22"/>
        </w:rPr>
        <w:t xml:space="preserve">Peserta didik dapat memilih 3 mode identitas: Terbuka (Identified), Rahasia (Confidential - hanya Guru BK yang mengetahui), dan Anonim Kriptografis (Anonymous - menggunakan token 4 kata ramah anak tanpa data pribadi).</w:t>
      </w:r>
    </w:p>
    <w:p>
      <w:pPr>
        <w:ind w:left="360" w:hanging="240"/>
        <w:spacing w:before="40" w:after="60" w:line="260" w:lineRule="auto"/>
      </w:pPr>
      <w:r>
        <w:rPr>
          <w:rFonts w:ascii="Symbol" w:hAnsi="Symbol"/>
          <w:color w:val="1D4ED8"/>
        </w:rPr>
        <w:t>  </w:t>
      </w:r>
      <w:r>
        <w:rPr>
          <w:b/>
          <w:color w:val="0F274A"/>
          <w:sz w:val="22"/>
        </w:rPr>
        <w:t xml:space="preserve">Akuntabilitas Waktu Respons (Strict SLA): </w:t>
      </w:r>
      <w:r>
        <w:rPr>
          <w:color w:val="334155"/>
          <w:sz w:val="22"/>
        </w:rPr>
        <w:t xml:space="preserve">Sistem memberlakukan batas waktu respons awal maksimal 1x24 jam hari kerja (atau maksimal 1 jam untuk situasi kritis) serta target penyelesaian kasus dalam 7 hari kerja yang dipantau secara otomatis oleh SLA scanner.</w:t>
      </w:r>
    </w:p>
    <w:p>
      <w:pPr>
        <w:ind w:left="360" w:hanging="240"/>
        <w:spacing w:before="40" w:after="60" w:line="260" w:lineRule="auto"/>
      </w:pPr>
      <w:r>
        <w:rPr>
          <w:rFonts w:ascii="Symbol" w:hAnsi="Symbol"/>
          <w:color w:val="1D4ED8"/>
        </w:rPr>
        <w:t>  </w:t>
      </w:r>
      <w:r>
        <w:rPr>
          <w:b/>
          <w:color w:val="0F274A"/>
          <w:sz w:val="22"/>
        </w:rPr>
        <w:t xml:space="preserve">Penguatan Prestasi Positif: </w:t>
      </w:r>
      <w:r>
        <w:rPr>
          <w:color w:val="334155"/>
          <w:sz w:val="22"/>
        </w:rPr>
        <w:t xml:space="preserve">Menyeimbangkan penanganan perundungan dengan modul portofolio prestasi peserta didik di bidang akademik, olahraga, seni, keagamaan, dan kepemimpinan yang terhubung langsung dengan microservice AConnect Pemerintah Kota Bukittinggi.</w:t>
      </w:r>
    </w:p>
    <w:p>
      <w:pPr>
        <w:spacing w:before="280" w:after="100"/>
      </w:pPr>
      <w:r>
        <w:rPr>
          <w:rFonts w:ascii="Calibri" w:hAnsi="Calibri"/>
          <w:b/>
          <w:sz w:val="26"/>
          <w:color w:val="1E40AF"/>
        </w:rPr>
        <w:t>1.2. Keamanan &amp; Isolasi Data Multi-Tenant</w:t>
      </w:r>
    </w:p>
    <w:p>
      <w:pPr>
        <w:jc w:val="both"/>
        <w:spacing w:before="40" w:after="120" w:line="276" w:lineRule="auto"/>
      </w:pPr>
      <w:r>
        <w:rPr>
          <w:rFonts w:ascii="Calibri" w:hAnsi="Calibri"/>
          <w:sz w:val="22"/>
          <w:color w:val="334155"/>
        </w:rPr>
        <w:t xml:space="preserve">Setiap sekolah diisolasi secara ketat berdasarkan Nomor Pokok Sekolah Nasional (NPSN). Guru BK hanya memiliki akses melihat, menangani, dan mengelola kasus yang terdaftar pada sekolah tempatnya bertugas. Data kasus antar-sekolah terpisah secara absolut sehingga kerahasiaan data anak terlindungi sepenuhnya.</w:t>
      </w:r>
    </w:p>
    <w:tbl>
      <w:tblPr>
        <w:tblW w:w="9600" w:type="dxa"/>
        <w:jc w:val="center"/>
        <w:tblBorders>
          <w:top w:val="none"/>
          <w:left w:val="single" w:sz="36" w:space="0" w:color="DC2626"/>
          <w:bottom w:val="none"/>
          <w:right w:val="none"/>
        </w:tblBorders>
        <w:tblCellMar>
          <w:top w:w="160" w:type="dxa"/>
          <w:bottom w:w="160" w:type="dxa"/>
          <w:left w:w="240" w:type="dxa"/>
          <w:right w:w="240" w:type="dxa"/>
        </w:tblCellMar>
      </w:tblPr>
      <w:tr>
        <w:tc>
          <w:tcPr>
            <w:tcW w:w="9600" w:type="dxa"/>
            <w:shd w:val="clear" w:color="auto" w:fill="FEF2F2"/>
          </w:tcPr>
          <w:p>
            <w:pPr>
              <w:spacing w:before="40" w:after="40"/>
            </w:pPr>
            <w:r>
              <w:rPr>
                <w:b/>
                <w:sz w:val="22"/>
                <w:color w:val="991B1B"/>
              </w:rPr>
              <w:t>🚨 Prinsip Utama Perlindungan Korban</w:t>
            </w:r>
          </w:p>
          <w:p>
            <w:pPr>
              <w:spacing w:before="0" w:after="40"/>
            </w:pPr>
            <w:r>
              <w:rPr>
                <w:sz w:val="20"/>
                <w:color w:val="334155"/>
              </w:rPr>
              <w:t xml:space="preserve">Kerahasiaan identitas anak (korban maupun saksi) adalah prioritas hukum tertinggi sesuai UU Perlindungan Anak dan Permendikbudristek 46/2023. Guru BK dilarang keras menyebarluaskan identitas, rekaman percakapan anonim, maupun bukti kasus di luar mekanisme resmi penanganan kasus.</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II: HAK AKSES &amp; WEWENANG GURU BK</w:t>
      </w:r>
    </w:p>
    <w:p>
      <w:pPr>
        <w:jc w:val="both"/>
        <w:spacing w:before="40" w:after="120" w:line="276" w:lineRule="auto"/>
      </w:pPr>
      <w:r>
        <w:rPr>
          <w:rFonts w:ascii="Calibri" w:hAnsi="Calibri"/>
          <w:sz w:val="22"/>
          <w:color w:val="334155"/>
        </w:rPr>
        <w:t xml:space="preserve">Dalam arsitektur Sahabat Sekolah, Guru Bimbingan dan Konseling memegang peran sentral sebagai Garda Terdepan (First Responder) penanganan kasus perundungan dan kekerasan.</w:t>
      </w:r>
    </w:p>
    <w:tbl>
      <w:tblPr>
        <w:tblW w:w="9600" w:type="dxa"/>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20" w:type="dxa"/>
          <w:bottom w:w="120" w:type="dxa"/>
          <w:left w:w="160" w:type="dxa"/>
          <w:right w:w="160" w:type="dxa"/>
        </w:tblCellMar>
      </w:tblPr>
      <w:tr>
        <w:trPr>
          <w:tblHeader/>
        </w:trPr>
        <w:tc>
          <w:tcPr>
            <w:tcW w:w="2200" w:type="dxa"/>
            <w:shd w:val="clear" w:color="auto" w:fill="0F274A"/>
          </w:tcPr>
          <w:p>
            <w:pPr>
              <w:jc w:val="center"/>
              <w:spacing w:before="60" w:after="60"/>
            </w:pPr>
            <w:r>
              <w:rPr>
                <w:b/>
                <w:sz w:val="20"/>
                <w:color w:val="FFFFFF"/>
              </w:rPr>
              <w:t>Fitur / Modul</w:t>
            </w:r>
          </w:p>
        </w:tc>
        <w:tc>
          <w:tcPr>
            <w:tcW w:w="4800" w:type="dxa"/>
            <w:shd w:val="clear" w:color="auto" w:fill="0F274A"/>
          </w:tcPr>
          <w:p>
            <w:pPr>
              <w:jc w:val="center"/>
              <w:spacing w:before="60" w:after="60"/>
            </w:pPr>
            <w:r>
              <w:rPr>
                <w:b/>
                <w:sz w:val="20"/>
                <w:color w:val="FFFFFF"/>
              </w:rPr>
              <w:t>Wewenang Guru BK</w:t>
            </w:r>
          </w:p>
        </w:tc>
        <w:tc>
          <w:tcPr>
            <w:tcW w:w="2600" w:type="dxa"/>
            <w:shd w:val="clear" w:color="auto" w:fill="0F274A"/>
          </w:tcPr>
          <w:p>
            <w:pPr>
              <w:jc w:val="center"/>
              <w:spacing w:before="60" w:after="60"/>
            </w:pPr>
            <w:r>
              <w:rPr>
                <w:b/>
                <w:sz w:val="20"/>
                <w:color w:val="FFFFFF"/>
              </w:rPr>
              <w:t>Batasan Akses</w:t>
            </w:r>
          </w:p>
        </w:tc>
      </w:tr>
      <w:tr>
        <w:tc>
          <w:tcPr>
            <w:tcW w:w="2200" w:type="dxa"/>
            <w:shd w:val="clear" w:color="auto" w:fill="FFFFFF"/>
          </w:tcPr>
          <w:p>
            <w:pPr>
              <w:jc w:val="left"/>
              <w:spacing w:before="60" w:after="60"/>
            </w:pPr>
            <w:r>
              <w:rPr>
                <w:sz w:val="20"/>
                <w:color w:val="334155"/>
              </w:rPr>
              <w:t xml:space="preserve">Laporan Masuk</w:t>
            </w:r>
          </w:p>
        </w:tc>
        <w:tc>
          <w:tcPr>
            <w:tcW w:w="4800" w:type="dxa"/>
            <w:shd w:val="clear" w:color="auto" w:fill="FFFFFF"/>
          </w:tcPr>
          <w:p>
            <w:pPr>
              <w:jc w:val="left"/>
              <w:spacing w:before="60" w:after="60"/>
            </w:pPr>
            <w:r>
              <w:rPr>
                <w:sz w:val="20"/>
                <w:color w:val="334155"/>
              </w:rPr>
              <w:t xml:space="preserve">Menerima notifikasi instan, meninjau laporan masuk, memverifikasi bukti</w:t>
            </w:r>
          </w:p>
        </w:tc>
        <w:tc>
          <w:tcPr>
            <w:tcW w:w="2600" w:type="dxa"/>
            <w:shd w:val="clear" w:color="auto" w:fill="FFFFFF"/>
          </w:tcPr>
          <w:p>
            <w:pPr>
              <w:jc w:val="left"/>
              <w:spacing w:before="60" w:after="60"/>
            </w:pPr>
            <w:r>
              <w:rPr>
                <w:sz w:val="20"/>
                <w:color w:val="334155"/>
              </w:rPr>
              <w:t xml:space="preserve">Hanya laporan pada NPSN sekolah sendiri</w:t>
            </w:r>
          </w:p>
        </w:tc>
      </w:tr>
      <w:tr>
        <w:tc>
          <w:tcPr>
            <w:tcW w:w="2200" w:type="dxa"/>
            <w:shd w:val="clear" w:color="auto" w:fill="F8FAFC"/>
          </w:tcPr>
          <w:p>
            <w:pPr>
              <w:jc w:val="left"/>
              <w:spacing w:before="60" w:after="60"/>
            </w:pPr>
            <w:r>
              <w:rPr>
                <w:sz w:val="20"/>
                <w:color w:val="334155"/>
              </w:rPr>
              <w:t xml:space="preserve">Asesmen Risiko</w:t>
            </w:r>
          </w:p>
        </w:tc>
        <w:tc>
          <w:tcPr>
            <w:tcW w:w="4800" w:type="dxa"/>
            <w:shd w:val="clear" w:color="auto" w:fill="F8FAFC"/>
          </w:tcPr>
          <w:p>
            <w:pPr>
              <w:jc w:val="left"/>
              <w:spacing w:before="60" w:after="60"/>
            </w:pPr>
            <w:r>
              <w:rPr>
                <w:sz w:val="20"/>
                <w:color w:val="334155"/>
              </w:rPr>
              <w:t xml:space="preserve">Menetapkan tingkat risiko: LOW, MEDIUM, HIGH, CRITICAL</w:t>
            </w:r>
          </w:p>
        </w:tc>
        <w:tc>
          <w:tcPr>
            <w:tcW w:w="2600" w:type="dxa"/>
            <w:shd w:val="clear" w:color="auto" w:fill="F8FAFC"/>
          </w:tcPr>
          <w:p>
            <w:pPr>
              <w:jc w:val="left"/>
              <w:spacing w:before="60" w:after="60"/>
            </w:pPr>
            <w:r>
              <w:rPr>
                <w:sz w:val="20"/>
                <w:color w:val="334155"/>
              </w:rPr>
              <w:t xml:space="preserve">Disesuaikan dengan matriks indikator objektif</w:t>
            </w:r>
          </w:p>
        </w:tc>
      </w:tr>
      <w:tr>
        <w:tc>
          <w:tcPr>
            <w:tcW w:w="2200" w:type="dxa"/>
            <w:shd w:val="clear" w:color="auto" w:fill="FFFFFF"/>
          </w:tcPr>
          <w:p>
            <w:pPr>
              <w:jc w:val="left"/>
              <w:spacing w:before="60" w:after="60"/>
            </w:pPr>
            <w:r>
              <w:rPr>
                <w:sz w:val="20"/>
                <w:color w:val="334155"/>
              </w:rPr>
              <w:t xml:space="preserve">Ruang Obrolan Anonim</w:t>
            </w:r>
          </w:p>
        </w:tc>
        <w:tc>
          <w:tcPr>
            <w:tcW w:w="4800" w:type="dxa"/>
            <w:shd w:val="clear" w:color="auto" w:fill="FFFFFF"/>
          </w:tcPr>
          <w:p>
            <w:pPr>
              <w:jc w:val="left"/>
              <w:spacing w:before="60" w:after="60"/>
            </w:pPr>
            <w:r>
              <w:rPr>
                <w:sz w:val="20"/>
                <w:color w:val="334155"/>
              </w:rPr>
              <w:t xml:space="preserve">Berkomunikasi dua arah dengan pelapor anonim secara terenkripsi</w:t>
            </w:r>
          </w:p>
        </w:tc>
        <w:tc>
          <w:tcPr>
            <w:tcW w:w="2600" w:type="dxa"/>
            <w:shd w:val="clear" w:color="auto" w:fill="FFFFFF"/>
          </w:tcPr>
          <w:p>
            <w:pPr>
              <w:jc w:val="left"/>
              <w:spacing w:before="60" w:after="60"/>
            </w:pPr>
            <w:r>
              <w:rPr>
                <w:sz w:val="20"/>
                <w:color w:val="334155"/>
              </w:rPr>
              <w:t xml:space="preserve">Identitas pelapor tetap terlindungi kriptografis</w:t>
            </w:r>
          </w:p>
        </w:tc>
      </w:tr>
      <w:tr>
        <w:tc>
          <w:tcPr>
            <w:tcW w:w="2200" w:type="dxa"/>
            <w:shd w:val="clear" w:color="auto" w:fill="F8FAFC"/>
          </w:tcPr>
          <w:p>
            <w:pPr>
              <w:jc w:val="left"/>
              <w:spacing w:before="60" w:after="60"/>
            </w:pPr>
            <w:r>
              <w:rPr>
                <w:sz w:val="20"/>
                <w:color w:val="334155"/>
              </w:rPr>
              <w:t xml:space="preserve">Catatan Kasus</w:t>
            </w:r>
          </w:p>
        </w:tc>
        <w:tc>
          <w:tcPr>
            <w:tcW w:w="4800" w:type="dxa"/>
            <w:shd w:val="clear" w:color="auto" w:fill="F8FAFC"/>
          </w:tcPr>
          <w:p>
            <w:pPr>
              <w:jc w:val="left"/>
              <w:spacing w:before="60" w:after="60"/>
            </w:pPr>
            <w:r>
              <w:rPr>
                <w:sz w:val="20"/>
                <w:color w:val="334155"/>
              </w:rPr>
              <w:t xml:space="preserve">Menulis log investigasi, konseling, mediasi, dan tindak lanjut</w:t>
            </w:r>
          </w:p>
        </w:tc>
        <w:tc>
          <w:tcPr>
            <w:tcW w:w="2600" w:type="dxa"/>
            <w:shd w:val="clear" w:color="auto" w:fill="F8FAFC"/>
          </w:tcPr>
          <w:p>
            <w:pPr>
              <w:jc w:val="left"/>
              <w:spacing w:before="60" w:after="60"/>
            </w:pPr>
            <w:r>
              <w:rPr>
                <w:sz w:val="20"/>
                <w:color w:val="334155"/>
              </w:rPr>
              <w:t xml:space="preserve">Catatan bersifat rahasia dan teraudit</w:t>
            </w:r>
          </w:p>
        </w:tc>
      </w:tr>
      <w:tr>
        <w:tc>
          <w:tcPr>
            <w:tcW w:w="2200" w:type="dxa"/>
            <w:shd w:val="clear" w:color="auto" w:fill="FFFFFF"/>
          </w:tcPr>
          <w:p>
            <w:pPr>
              <w:jc w:val="left"/>
              <w:spacing w:before="60" w:after="60"/>
            </w:pPr>
            <w:r>
              <w:rPr>
                <w:sz w:val="20"/>
                <w:color w:val="334155"/>
              </w:rPr>
              <w:t xml:space="preserve">Eskalasi Kasus</w:t>
            </w:r>
          </w:p>
        </w:tc>
        <w:tc>
          <w:tcPr>
            <w:tcW w:w="4800" w:type="dxa"/>
            <w:shd w:val="clear" w:color="auto" w:fill="FFFFFF"/>
          </w:tcPr>
          <w:p>
            <w:pPr>
              <w:jc w:val="left"/>
              <w:spacing w:before="60" w:after="60"/>
            </w:pPr>
            <w:r>
              <w:rPr>
                <w:sz w:val="20"/>
                <w:color w:val="334155"/>
              </w:rPr>
              <w:t xml:space="preserve">Mengangkat kasus ke Kepala Sekolah, Dinas Pendidikan, atau UPTD PPA</w:t>
            </w:r>
          </w:p>
        </w:tc>
        <w:tc>
          <w:tcPr>
            <w:tcW w:w="2600" w:type="dxa"/>
            <w:shd w:val="clear" w:color="auto" w:fill="FFFFFF"/>
          </w:tcPr>
          <w:p>
            <w:pPr>
              <w:jc w:val="left"/>
              <w:spacing w:before="60" w:after="60"/>
            </w:pPr>
            <w:r>
              <w:rPr>
                <w:sz w:val="20"/>
                <w:color w:val="334155"/>
              </w:rPr>
              <w:t xml:space="preserve">Wajib menyertakan alasan eskalasi objektif</w:t>
            </w:r>
          </w:p>
        </w:tc>
      </w:tr>
      <w:tr>
        <w:tc>
          <w:tcPr>
            <w:tcW w:w="2200" w:type="dxa"/>
            <w:shd w:val="clear" w:color="auto" w:fill="F8FAFC"/>
          </w:tcPr>
          <w:p>
            <w:pPr>
              <w:jc w:val="left"/>
              <w:spacing w:before="60" w:after="60"/>
            </w:pPr>
            <w:r>
              <w:rPr>
                <w:sz w:val="20"/>
                <w:color w:val="334155"/>
              </w:rPr>
              <w:t xml:space="preserve">Penyelesaian Kasus</w:t>
            </w:r>
          </w:p>
        </w:tc>
        <w:tc>
          <w:tcPr>
            <w:tcW w:w="4800" w:type="dxa"/>
            <w:shd w:val="clear" w:color="auto" w:fill="F8FAFC"/>
          </w:tcPr>
          <w:p>
            <w:pPr>
              <w:jc w:val="left"/>
              <w:spacing w:before="60" w:after="60"/>
            </w:pPr>
            <w:r>
              <w:rPr>
                <w:sz w:val="20"/>
                <w:color w:val="334155"/>
              </w:rPr>
              <w:t xml:space="preserve">Mengubah status menjadi RESOLVED dan mengunggah dokumen penyelesaian</w:t>
            </w:r>
          </w:p>
        </w:tc>
        <w:tc>
          <w:tcPr>
            <w:tcW w:w="2600" w:type="dxa"/>
            <w:shd w:val="clear" w:color="auto" w:fill="F8FAFC"/>
          </w:tcPr>
          <w:p>
            <w:pPr>
              <w:jc w:val="left"/>
              <w:spacing w:before="60" w:after="60"/>
            </w:pPr>
            <w:r>
              <w:rPr>
                <w:sz w:val="20"/>
                <w:color w:val="334155"/>
              </w:rPr>
              <w:t xml:space="preserve">Status CLOSED mensyaratkan dokumen resmi</w:t>
            </w:r>
          </w:p>
        </w:tc>
      </w:tr>
      <w:tr>
        <w:tc>
          <w:tcPr>
            <w:tcW w:w="2200" w:type="dxa"/>
            <w:shd w:val="clear" w:color="auto" w:fill="FFFFFF"/>
          </w:tcPr>
          <w:p>
            <w:pPr>
              <w:jc w:val="left"/>
              <w:spacing w:before="60" w:after="60"/>
            </w:pPr>
            <w:r>
              <w:rPr>
                <w:sz w:val="20"/>
                <w:color w:val="334155"/>
              </w:rPr>
              <w:t xml:space="preserve">Portofolio Prestasi</w:t>
            </w:r>
          </w:p>
        </w:tc>
        <w:tc>
          <w:tcPr>
            <w:tcW w:w="4800" w:type="dxa"/>
            <w:shd w:val="clear" w:color="auto" w:fill="FFFFFF"/>
          </w:tcPr>
          <w:p>
            <w:pPr>
              <w:jc w:val="left"/>
              <w:spacing w:before="60" w:after="60"/>
            </w:pPr>
            <w:r>
              <w:rPr>
                <w:sz w:val="20"/>
                <w:color w:val="334155"/>
              </w:rPr>
              <w:t xml:space="preserve">Mencatat prestasi siswa dan melakukan sinkronisasi data AConnect</w:t>
            </w:r>
          </w:p>
        </w:tc>
        <w:tc>
          <w:tcPr>
            <w:tcW w:w="2600" w:type="dxa"/>
            <w:shd w:val="clear" w:color="auto" w:fill="FFFFFF"/>
          </w:tcPr>
          <w:p>
            <w:pPr>
              <w:jc w:val="left"/>
              <w:spacing w:before="60" w:after="60"/>
            </w:pPr>
            <w:r>
              <w:rPr>
                <w:sz w:val="20"/>
                <w:color w:val="334155"/>
              </w:rPr>
              <w:t xml:space="preserve">Hanya siswa aktif di NPSN sekolah sendiri</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III: PANDUAN PENGGUNAAN LANGKAH DEMI LANGKAH</w:t>
      </w:r>
    </w:p>
    <w:p>
      <w:pPr>
        <w:spacing w:before="280" w:after="100"/>
      </w:pPr>
      <w:r>
        <w:rPr>
          <w:rFonts w:ascii="Calibri" w:hAnsi="Calibri"/>
          <w:b/>
          <w:sz w:val="26"/>
          <w:color w:val="1E40AF"/>
        </w:rPr>
        <w:t>3.1. Masuk ke Akun Guru BK</w:t>
      </w:r>
    </w:p>
    <w:p>
      <w:pPr>
        <w:ind w:left="480" w:hanging="480"/>
        <w:spacing w:before="120" w:after="40"/>
      </w:pPr>
      <w:r>
        <w:rPr>
          <w:b/>
          <w:sz w:val="22"/>
          <w:color w:val="1D4ED8"/>
        </w:rPr>
        <w:t>1. </w:t>
      </w:r>
      <w:r>
        <w:rPr>
          <w:b/>
          <w:sz w:val="22"/>
          <w:color w:val="0F274A"/>
        </w:rPr>
        <w:t xml:space="preserve">Akses Halaman Login: </w:t>
      </w:r>
      <w:r>
        <w:rPr>
          <w:sz w:val="22"/>
          <w:color w:val="334155"/>
        </w:rPr>
        <w:t xml:space="preserve">Buka peramban (browser) dan ketik alamat portal Sahabat Sekolah, lalu klik menu 'Masuk Petugas' di pojok kanan atas.</w:t>
      </w:r>
    </w:p>
    <w:p>
      <w:pPr>
        <w:ind w:left="480" w:hanging="480"/>
        <w:spacing w:before="120" w:after="40"/>
      </w:pPr>
      <w:r>
        <w:rPr>
          <w:b/>
          <w:sz w:val="22"/>
          <w:color w:val="1D4ED8"/>
        </w:rPr>
        <w:t>2. </w:t>
      </w:r>
      <w:r>
        <w:rPr>
          <w:b/>
          <w:sz w:val="22"/>
          <w:color w:val="0F274A"/>
        </w:rPr>
        <w:t xml:space="preserve">Masukkan Kredensial Resmi: </w:t>
      </w:r>
      <w:r>
        <w:rPr>
          <w:sz w:val="22"/>
          <w:color w:val="334155"/>
        </w:rPr>
        <w:t xml:space="preserve">Ketikkan alamat email kedinasan Anda (contoh: bk@sahabat.test) dan kata sandi yang telah diberikan.</w:t>
      </w:r>
    </w:p>
    <w:p>
      <w:pPr>
        <w:ind w:left="480" w:hanging="480"/>
        <w:spacing w:before="120" w:after="40"/>
      </w:pPr>
      <w:r>
        <w:rPr>
          <w:b/>
          <w:sz w:val="22"/>
          <w:color w:val="1D4ED8"/>
        </w:rPr>
        <w:t>3. </w:t>
      </w:r>
      <w:r>
        <w:rPr>
          <w:b/>
          <w:sz w:val="22"/>
          <w:color w:val="0F274A"/>
        </w:rPr>
        <w:t xml:space="preserve">Periksa Beranda Kasus: </w:t>
      </w:r>
      <w:r>
        <w:rPr>
          <w:sz w:val="22"/>
          <w:color w:val="334155"/>
        </w:rPr>
        <w:t xml:space="preserve">Setelah berhasil masuk, Anda akan langsung diarahkan ke Dashboard Manajemen Kasus Sekolah Anda.</w:t>
      </w:r>
    </w:p>
    <w:p>
      <w:pPr>
        <w:spacing w:before="280" w:after="100"/>
      </w:pPr>
      <w:r>
        <w:rPr>
          <w:rFonts w:ascii="Calibri" w:hAnsi="Calibri"/>
          <w:b/>
          <w:sz w:val="26"/>
          <w:color w:val="1E40AF"/>
        </w:rPr>
        <w:t>3.2. Memahami Indikator Dashboard Guru BK</w:t>
      </w:r>
    </w:p>
    <w:p>
      <w:pPr>
        <w:jc w:val="both"/>
        <w:spacing w:before="40" w:after="120" w:line="276" w:lineRule="auto"/>
      </w:pPr>
      <w:r>
        <w:rPr>
          <w:rFonts w:ascii="Calibri" w:hAnsi="Calibri"/>
          <w:sz w:val="22"/>
          <w:color w:val="334155"/>
        </w:rPr>
        <w:t xml:space="preserve">Dashboard menyajikan gambaran cepat beban kerja dan kondisi penanganan kasus di sekolah:</w:t>
      </w:r>
    </w:p>
    <w:p>
      <w:pPr>
        <w:ind w:left="360" w:hanging="240"/>
        <w:spacing w:before="40" w:after="60" w:line="260" w:lineRule="auto"/>
      </w:pPr>
      <w:r>
        <w:rPr>
          <w:rFonts w:ascii="Symbol" w:hAnsi="Symbol"/>
          <w:color w:val="1D4ED8"/>
        </w:rPr>
        <w:t>  </w:t>
      </w:r>
      <w:r>
        <w:rPr>
          <w:b/>
          <w:color w:val="0F274A"/>
          <w:sz w:val="22"/>
        </w:rPr>
        <w:t xml:space="preserve">Kartu Ringkasan Status: </w:t>
      </w:r>
      <w:r>
        <w:rPr>
          <w:color w:val="334155"/>
          <w:sz w:val="22"/>
        </w:rPr>
        <w:t xml:space="preserve">Menampilkan total kasus Menunggu Respons, Dalam Penanganan, Selesai, dan Kasus Berisiko Tinggi.</w:t>
      </w:r>
    </w:p>
    <w:p>
      <w:pPr>
        <w:ind w:left="360" w:hanging="240"/>
        <w:spacing w:before="40" w:after="60" w:line="260" w:lineRule="auto"/>
      </w:pPr>
      <w:r>
        <w:rPr>
          <w:rFonts w:ascii="Symbol" w:hAnsi="Symbol"/>
          <w:color w:val="1D4ED8"/>
        </w:rPr>
        <w:t>  </w:t>
      </w:r>
      <w:r>
        <w:rPr>
          <w:b/>
          <w:color w:val="0F274A"/>
          <w:sz w:val="22"/>
        </w:rPr>
        <w:t xml:space="preserve">Indikator SLA (On-Time / Warning / Overdue): </w:t>
      </w:r>
      <w:r>
        <w:rPr>
          <w:color w:val="334155"/>
          <w:sz w:val="22"/>
        </w:rPr>
        <w:t xml:space="preserve">Warna hijau menandakan respons tepat waktu, kuning (Warning) menandakan sisa waktu respons kurang dari 4 jam, dan merah (Overdue) menandakan batas SLA telah terlampaui.</w:t>
      </w:r>
    </w:p>
    <w:p>
      <w:pPr>
        <w:ind w:left="360" w:hanging="240"/>
        <w:spacing w:before="40" w:after="60" w:line="260" w:lineRule="auto"/>
      </w:pPr>
      <w:r>
        <w:rPr>
          <w:rFonts w:ascii="Symbol" w:hAnsi="Symbol"/>
          <w:color w:val="1D4ED8"/>
        </w:rPr>
        <w:t>  </w:t>
      </w:r>
      <w:r>
        <w:rPr>
          <w:b/>
          <w:color w:val="0F274A"/>
          <w:sz w:val="22"/>
        </w:rPr>
        <w:t xml:space="preserve">Filter Kasus Cepat: </w:t>
      </w:r>
      <w:r>
        <w:rPr>
          <w:color w:val="334155"/>
          <w:sz w:val="22"/>
        </w:rPr>
        <w:t xml:space="preserve">Memudahkan memfilter daftar kasus berdasarkan Kategori (Verbal, Fisik, Sosial, Siber, Seksual), Tingkat Risiko, dan Status.</w:t>
      </w:r>
    </w:p>
    <w:p>
      <w:pPr>
        <w:spacing w:before="280" w:after="100"/>
      </w:pPr>
      <w:r>
        <w:rPr>
          <w:rFonts w:ascii="Calibri" w:hAnsi="Calibri"/>
          <w:b/>
          <w:sz w:val="26"/>
          <w:color w:val="1E40AF"/>
        </w:rPr>
        <w:t>3.3. Alur Lengkap Penanganan Kasus Baru</w:t>
      </w:r>
    </w:p>
    <w:p>
      <w:pPr>
        <w:ind w:left="480" w:hanging="480"/>
        <w:spacing w:before="120" w:after="40"/>
      </w:pPr>
      <w:r>
        <w:rPr>
          <w:b/>
          <w:sz w:val="22"/>
          <w:color w:val="1D4ED8"/>
        </w:rPr>
        <w:t>1. </w:t>
      </w:r>
      <w:r>
        <w:rPr>
          <w:b/>
          <w:sz w:val="22"/>
          <w:color w:val="0F274A"/>
        </w:rPr>
        <w:t xml:space="preserve">Buka Rincian Kasus: </w:t>
      </w:r>
      <w:r>
        <w:rPr>
          <w:sz w:val="22"/>
          <w:color w:val="334155"/>
        </w:rPr>
        <w:t xml:space="preserve">Klik tombol 'Buka Kasus' pada daftar laporan dengan status PENDING_RESPONSE.</w:t>
      </w:r>
    </w:p>
    <w:p>
      <w:pPr>
        <w:ind w:left="480" w:hanging="480"/>
        <w:spacing w:before="120" w:after="40"/>
      </w:pPr>
      <w:r>
        <w:rPr>
          <w:b/>
          <w:sz w:val="22"/>
          <w:color w:val="1D4ED8"/>
        </w:rPr>
        <w:t>2. </w:t>
      </w:r>
      <w:r>
        <w:rPr>
          <w:b/>
          <w:sz w:val="22"/>
          <w:color w:val="0F274A"/>
        </w:rPr>
        <w:t xml:space="preserve">Verifikasi Kronologi &amp; Bukti: </w:t>
      </w:r>
      <w:r>
        <w:rPr>
          <w:sz w:val="22"/>
          <w:color w:val="334155"/>
        </w:rPr>
        <w:t xml:space="preserve">Pelajari deskripsi laporan, periksa lampiran bukti tangkapan layar/foto, dan telusuri identitas pelapor (jika pelapor memilih mode Terbuka/Rahasia).</w:t>
      </w:r>
    </w:p>
    <w:p>
      <w:pPr>
        <w:ind w:left="480" w:hanging="480"/>
        <w:spacing w:before="120" w:after="40"/>
      </w:pPr>
      <w:r>
        <w:rPr>
          <w:b/>
          <w:sz w:val="22"/>
          <w:color w:val="1D4ED8"/>
        </w:rPr>
        <w:t>3. </w:t>
      </w:r>
      <w:r>
        <w:rPr>
          <w:b/>
          <w:sz w:val="22"/>
          <w:color w:val="0F274A"/>
        </w:rPr>
        <w:t xml:space="preserve">Respons Awal &amp; Hentikan Penghitung SLA: </w:t>
      </w:r>
      <w:r>
        <w:rPr>
          <w:sz w:val="22"/>
          <w:color w:val="334155"/>
        </w:rPr>
        <w:t xml:space="preserve">Klik tombol 'Mulai Verifikasi' untuk mengubah status menjadi UNDER_VERIFICATION. Tindakan ini secara otomatis mencatat waktu respons awal resmi sekolah.</w:t>
      </w:r>
    </w:p>
    <w:p>
      <w:pPr>
        <w:ind w:left="480" w:hanging="480"/>
        <w:spacing w:before="120" w:after="40"/>
      </w:pPr>
      <w:r>
        <w:rPr>
          <w:b/>
          <w:sz w:val="22"/>
          <w:color w:val="1D4ED8"/>
        </w:rPr>
        <w:t>4. </w:t>
      </w:r>
      <w:r>
        <w:rPr>
          <w:b/>
          <w:sz w:val="22"/>
          <w:color w:val="0F274A"/>
        </w:rPr>
        <w:t xml:space="preserve">Gunakan Ruang Obrolan Rahasia (Kasus Anonim): </w:t>
      </w:r>
      <w:r>
        <w:rPr>
          <w:sz w:val="22"/>
          <w:color w:val="334155"/>
        </w:rPr>
        <w:t xml:space="preserve">Jika pelapor berstatus anonim, kirimkan pesan sapaan hangat melalui tab Obrolan Anonim untuk menggali keterangan lebih mendalam tanpa menanyakan identitas aslinya.</w:t>
      </w:r>
    </w:p>
    <w:p>
      <w:pPr>
        <w:ind w:left="480" w:hanging="480"/>
        <w:spacing w:before="120" w:after="40"/>
      </w:pPr>
      <w:r>
        <w:rPr>
          <w:b/>
          <w:sz w:val="22"/>
          <w:color w:val="1D4ED8"/>
        </w:rPr>
        <w:t>5. </w:t>
      </w:r>
      <w:r>
        <w:rPr>
          <w:b/>
          <w:sz w:val="22"/>
          <w:color w:val="0F274A"/>
        </w:rPr>
        <w:t xml:space="preserve">Tulis Catatan Kasus Berkala: </w:t>
      </w:r>
      <w:r>
        <w:rPr>
          <w:sz w:val="22"/>
          <w:color w:val="334155"/>
        </w:rPr>
        <w:t xml:space="preserve">Setiap tindakan konseling individual, pemanggilan saksi, atau mediasi wajib dicatat melalui panel 'Tambah Catatan Kasus' dengan memilih tipe catatan yang sesuai.</w:t>
      </w:r>
    </w:p>
    <w:tbl>
      <w:tblPr>
        <w:tblW w:w="9600" w:type="dxa"/>
        <w:jc w:val="center"/>
        <w:tblBorders>
          <w:top w:val="none"/>
          <w:left w:val="single" w:sz="36" w:space="0" w:color="2563EB"/>
          <w:bottom w:val="none"/>
          <w:right w:val="none"/>
        </w:tblBorders>
        <w:tblCellMar>
          <w:top w:w="160" w:type="dxa"/>
          <w:bottom w:w="160" w:type="dxa"/>
          <w:left w:w="240" w:type="dxa"/>
          <w:right w:w="240" w:type="dxa"/>
        </w:tblCellMar>
      </w:tblPr>
      <w:tr>
        <w:tc>
          <w:tcPr>
            <w:tcW w:w="9600" w:type="dxa"/>
            <w:shd w:val="clear" w:color="auto" w:fill="EFF6FF"/>
          </w:tcPr>
          <w:p>
            <w:pPr>
              <w:spacing w:before="40" w:after="40"/>
            </w:pPr>
            <w:r>
              <w:rPr>
                <w:b/>
                <w:sz w:val="22"/>
                <w:color w:val="1E40AF"/>
              </w:rPr>
              <w:t>ℹ️ Status Menunggu Tanggapan Pelapor (Pause SLA)</w:t>
            </w:r>
          </w:p>
          <w:p>
            <w:pPr>
              <w:spacing w:before="0" w:after="40"/>
            </w:pPr>
            <w:r>
              <w:rPr>
                <w:sz w:val="20"/>
                <w:color w:val="334155"/>
              </w:rPr>
              <w:t xml:space="preserve">Bila Guru BK membutuhkan informasi tambahan dari pelapor anonim, ubah status ke 'WAITING_REPORTER_INFO'. Sistem akan menjeda penghitungan SLA sehingga sekolah tidak terkena penalti waktu saat menunggu balasan.</w:t>
            </w:r>
          </w:p>
        </w:tc>
      </w:tr>
    </w:tbl>
    <w:p>
      <w:pPr>
        <w:jc w:val="both"/>
        <w:spacing w:before="40" w:after="120" w:line="276" w:lineRule="auto"/>
      </w:pPr>
      <w:r>
        <w:rPr>
          <w:rFonts w:ascii="Calibri" w:hAnsi="Calibri"/>
          <w:sz w:val="22"/>
          <w:color w:val="334155"/>
        </w:rPr>
        <w:t xml:space="preserve"/>
      </w:r>
    </w:p>
    <w:p>
      <w:pPr>
        <w:spacing w:before="280" w:after="100"/>
      </w:pPr>
      <w:r>
        <w:rPr>
          <w:rFonts w:ascii="Calibri" w:hAnsi="Calibri"/>
          <w:b/>
          <w:sz w:val="26"/>
          <w:color w:val="1E40AF"/>
        </w:rPr>
        <w:t>3.4. Tata Cara Eskalasi Kasus (Jenjang 2 &amp; Jenjang 3)</w:t>
      </w:r>
    </w:p>
    <w:p>
      <w:pPr>
        <w:jc w:val="both"/>
        <w:spacing w:before="40" w:after="120" w:line="276" w:lineRule="auto"/>
      </w:pPr>
      <w:r>
        <w:rPr>
          <w:rFonts w:ascii="Calibri" w:hAnsi="Calibri"/>
          <w:sz w:val="22"/>
          <w:color w:val="334155"/>
        </w:rPr>
        <w:t xml:space="preserve">Jika kasus memerlukan perhatian pimpinan sekolah atau kewenangan lintas instansi di tingkat kota, Guru BK dapat menggunakan formulir Eskalasi Kasus:</w:t>
      </w:r>
    </w:p>
    <w:p>
      <w:pPr>
        <w:ind w:left="480" w:hanging="480"/>
        <w:spacing w:before="120" w:after="40"/>
      </w:pPr>
      <w:r>
        <w:rPr>
          <w:b/>
          <w:sz w:val="22"/>
          <w:color w:val="1D4ED8"/>
        </w:rPr>
        <w:t>1. </w:t>
      </w:r>
      <w:r>
        <w:rPr>
          <w:b/>
          <w:sz w:val="22"/>
          <w:color w:val="0F274A"/>
        </w:rPr>
        <w:t xml:space="preserve">Pilih Tujuan Eskalasi: </w:t>
      </w:r>
      <w:r>
        <w:rPr>
          <w:sz w:val="22"/>
          <w:color w:val="334155"/>
        </w:rPr>
        <w:t xml:space="preserve">Tersedia 4 pilihan rujukan eskalasi resmi:</w:t>
      </w:r>
    </w:p>
    <w:p>
      <w:pPr>
        <w:ind w:left="720" w:hanging="240"/>
        <w:spacing w:before="40" w:after="60" w:line="260" w:lineRule="auto"/>
      </w:pPr>
      <w:r>
        <w:rPr>
          <w:rFonts w:ascii="Symbol" w:hAnsi="Symbol"/>
          <w:color w:val="1D4ED8"/>
        </w:rPr>
        <w:t>  </w:t>
      </w:r>
      <w:r>
        <w:rPr>
          <w:b/>
          <w:color w:val="0F274A"/>
          <w:sz w:val="22"/>
        </w:rPr>
        <w:t xml:space="preserve">Jenjang 2: Kepala Sekolah </w:t>
      </w:r>
      <w:r>
        <w:rPr>
          <w:color w:val="334155"/>
          <w:sz w:val="22"/>
        </w:rPr>
        <w:t xml:space="preserve">Untuk penanganan internal sekolah, pelanggaran berat siswa yang butuh sanksi kepala sekolah, atau kasus yang melibatkan pendidik.</w:t>
      </w:r>
    </w:p>
    <w:p>
      <w:pPr>
        <w:ind w:left="720" w:hanging="240"/>
        <w:spacing w:before="40" w:after="60" w:line="260" w:lineRule="auto"/>
      </w:pPr>
      <w:r>
        <w:rPr>
          <w:rFonts w:ascii="Symbol" w:hAnsi="Symbol"/>
          <w:color w:val="1D4ED8"/>
        </w:rPr>
        <w:t>  </w:t>
      </w:r>
      <w:r>
        <w:rPr>
          <w:b/>
          <w:color w:val="0F274A"/>
          <w:sz w:val="22"/>
        </w:rPr>
        <w:t xml:space="preserve">Jenjang 3: Dinas Pendidikan Kota Bukittinggi </w:t>
      </w:r>
      <w:r>
        <w:rPr>
          <w:color w:val="334155"/>
          <w:sz w:val="22"/>
        </w:rPr>
        <w:t xml:space="preserve">Untuk masalah manajerial guru/sekolah, pembinaan kedinasan, kurikulum, atau sanksi administratif.</w:t>
      </w:r>
    </w:p>
    <w:p>
      <w:pPr>
        <w:ind w:left="720" w:hanging="240"/>
        <w:spacing w:before="40" w:after="60" w:line="260" w:lineRule="auto"/>
      </w:pPr>
      <w:r>
        <w:rPr>
          <w:rFonts w:ascii="Symbol" w:hAnsi="Symbol"/>
          <w:color w:val="1D4ED8"/>
        </w:rPr>
        <w:t>  </w:t>
      </w:r>
      <w:r>
        <w:rPr>
          <w:b/>
          <w:color w:val="0F274A"/>
          <w:sz w:val="22"/>
        </w:rPr>
        <w:t xml:space="preserve">Jenjang 3: UPTD PPA - DP3APPKB </w:t>
      </w:r>
      <w:r>
        <w:rPr>
          <w:color w:val="334155"/>
          <w:sz w:val="22"/>
        </w:rPr>
        <w:t xml:space="preserve">Khusus kasus kekerasan fisik berat, kekerasan/pelecehan seksual anak, serta kebutuhan pendampingan hukum dan rehabilitasi psikologis.</w:t>
      </w:r>
    </w:p>
    <w:p>
      <w:pPr>
        <w:ind w:left="720" w:hanging="240"/>
        <w:spacing w:before="40" w:after="60" w:line="260" w:lineRule="auto"/>
      </w:pPr>
      <w:r>
        <w:rPr>
          <w:rFonts w:ascii="Symbol" w:hAnsi="Symbol"/>
          <w:color w:val="1D4ED8"/>
        </w:rPr>
        <w:t>  </w:t>
      </w:r>
      <w:r>
        <w:rPr>
          <w:b/>
          <w:color w:val="0F274A"/>
          <w:sz w:val="22"/>
        </w:rPr>
        <w:t xml:space="preserve">Jenjang 3: Satgas PPKSP Kota Bukittinggi </w:t>
      </w:r>
      <w:r>
        <w:rPr>
          <w:color w:val="334155"/>
          <w:sz w:val="22"/>
        </w:rPr>
        <w:t xml:space="preserve">Untuk situasi darurat/kritis yang memerlukan penanganan gabungan Dinas Pendidikan dan UPTD PPA secara terpadu.</w:t>
      </w:r>
    </w:p>
    <w:p>
      <w:pPr>
        <w:ind w:left="480" w:hanging="480"/>
        <w:spacing w:before="120" w:after="40"/>
      </w:pPr>
      <w:r>
        <w:rPr>
          <w:b/>
          <w:sz w:val="22"/>
          <w:color w:val="1D4ED8"/>
        </w:rPr>
        <w:t>2. </w:t>
      </w:r>
      <w:r>
        <w:rPr>
          <w:b/>
          <w:sz w:val="22"/>
          <w:color w:val="0F274A"/>
        </w:rPr>
        <w:t xml:space="preserve">Tulis Alasan Eskalasi Secara Objektif: </w:t>
      </w:r>
      <w:r>
        <w:rPr>
          <w:sz w:val="22"/>
          <w:color w:val="334155"/>
        </w:rPr>
        <w:t xml:space="preserve">Jelaskan fakta kasus, asesmen risiko, dan pertimbangan mengapa eskalasi dibutuhkan (minimal 5 karakter).</w:t>
      </w:r>
    </w:p>
    <w:p>
      <w:pPr>
        <w:ind w:left="480" w:hanging="480"/>
        <w:spacing w:before="120" w:after="40"/>
      </w:pPr>
      <w:r>
        <w:rPr>
          <w:b/>
          <w:sz w:val="22"/>
          <w:color w:val="1D4ED8"/>
        </w:rPr>
        <w:t>3. </w:t>
      </w:r>
      <w:r>
        <w:rPr>
          <w:b/>
          <w:sz w:val="22"/>
          <w:color w:val="0F274A"/>
        </w:rPr>
        <w:t xml:space="preserve">Kirim Eskalasi: </w:t>
      </w:r>
      <w:r>
        <w:rPr>
          <w:sz w:val="22"/>
          <w:color w:val="334155"/>
        </w:rPr>
        <w:t xml:space="preserve">Klik 'Eskalasikan Kasus'. Sistem akan otomatis mengirimkan email prioritas resmi ke pejabat terkait dan mencatatnya ke audit trail.</w:t>
      </w:r>
    </w:p>
    <w:p>
      <w:pPr>
        <w:spacing w:before="280" w:after="100"/>
      </w:pPr>
      <w:r>
        <w:rPr>
          <w:rFonts w:ascii="Calibri" w:hAnsi="Calibri"/>
          <w:b/>
          <w:sz w:val="26"/>
          <w:color w:val="1E40AF"/>
        </w:rPr>
        <w:t>3.5. Penutupan Kasus &amp; Berita Acara Penyelesaian</w:t>
      </w:r>
    </w:p>
    <w:p>
      <w:pPr>
        <w:jc w:val="both"/>
        <w:spacing w:before="40" w:after="120" w:line="276" w:lineRule="auto"/>
      </w:pPr>
      <w:r>
        <w:rPr>
          <w:rFonts w:ascii="Calibri" w:hAnsi="Calibri"/>
          <w:sz w:val="22"/>
          <w:color w:val="334155"/>
        </w:rPr>
        <w:t xml:space="preserve">Sesuai standar operasional Sahabat Sekolah, kasus tidak dapat ditutup (CLOSED) secara sembarangan tanpa dokumen pendukung:</w:t>
      </w:r>
    </w:p>
    <w:p>
      <w:pPr>
        <w:ind w:left="480" w:hanging="480"/>
        <w:spacing w:before="120" w:after="40"/>
      </w:pPr>
      <w:r>
        <w:rPr>
          <w:b/>
          <w:sz w:val="22"/>
          <w:color w:val="1D4ED8"/>
        </w:rPr>
        <w:t>1. </w:t>
      </w:r>
      <w:r>
        <w:rPr>
          <w:b/>
          <w:sz w:val="22"/>
          <w:color w:val="0F274A"/>
        </w:rPr>
        <w:t xml:space="preserve">Ubah Status ke RESOLVED: </w:t>
      </w:r>
      <w:r>
        <w:rPr>
          <w:sz w:val="22"/>
          <w:color w:val="334155"/>
        </w:rPr>
        <w:t xml:space="preserve">Setelah seluruh tahapan penanganan, konseling, dan mediasi tuntas, ubah status kasus ke RESOLVED.</w:t>
      </w:r>
    </w:p>
    <w:p>
      <w:pPr>
        <w:ind w:left="480" w:hanging="480"/>
        <w:spacing w:before="120" w:after="40"/>
      </w:pPr>
      <w:r>
        <w:rPr>
          <w:b/>
          <w:sz w:val="22"/>
          <w:color w:val="1D4ED8"/>
        </w:rPr>
        <w:t>2. </w:t>
      </w:r>
      <w:r>
        <w:rPr>
          <w:b/>
          <w:sz w:val="22"/>
          <w:color w:val="0F274A"/>
        </w:rPr>
        <w:t xml:space="preserve">Unggah Dokumen Berita Acara: </w:t>
      </w:r>
      <w:r>
        <w:rPr>
          <w:sz w:val="22"/>
          <w:color w:val="334155"/>
        </w:rPr>
        <w:t xml:space="preserve">Pada panel Dokumen Penyelesaian, unggah pindaian (PDF/JPG) berita acara mediasi atau surat komitmen damai yang ditandatangani pihak terkait.</w:t>
      </w:r>
    </w:p>
    <w:p>
      <w:pPr>
        <w:ind w:left="480" w:hanging="480"/>
        <w:spacing w:before="120" w:after="40"/>
      </w:pPr>
      <w:r>
        <w:rPr>
          <w:b/>
          <w:sz w:val="22"/>
          <w:color w:val="1D4ED8"/>
        </w:rPr>
        <w:t>3. </w:t>
      </w:r>
      <w:r>
        <w:rPr>
          <w:b/>
          <w:sz w:val="22"/>
          <w:color w:val="0F274A"/>
        </w:rPr>
        <w:t xml:space="preserve">Tutup Kasus Resmi: </w:t>
      </w:r>
      <w:r>
        <w:rPr>
          <w:sz w:val="22"/>
          <w:color w:val="334155"/>
        </w:rPr>
        <w:t xml:space="preserve">Setelah dokumen terverifikasi valid, status kasus dapat diubah menjadi CLOSED.</w:t>
      </w:r>
    </w:p>
    <w:p>
      <w:pPr>
        <w:spacing w:before="400" w:after="160"/>
        <w:pBdr>
          <w:bottom w:val="single" w:sz="14" w:space="4" w:color="1D4ED8"/>
        </w:pBdr>
      </w:pPr>
      <w:r>
        <w:rPr>
          <w:rFonts w:ascii="Calibri" w:hAnsi="Calibri"/>
          <w:b/>
          <w:sz w:val="32"/>
          <w:color w:val="0F274A"/>
        </w:rPr>
        <w:t>BAB IV: PROTOKOL DARURAT &amp; PENANGANAN KENDALA</w:t>
      </w:r>
    </w:p>
    <w:tbl>
      <w:tblPr>
        <w:tblW w:w="9600" w:type="dxa"/>
        <w:jc w:val="center"/>
        <w:tblBorders>
          <w:top w:val="none"/>
          <w:left w:val="single" w:sz="36" w:space="0" w:color="DC2626"/>
          <w:bottom w:val="none"/>
          <w:right w:val="none"/>
        </w:tblBorders>
        <w:tblCellMar>
          <w:top w:w="160" w:type="dxa"/>
          <w:bottom w:w="160" w:type="dxa"/>
          <w:left w:w="240" w:type="dxa"/>
          <w:right w:w="240" w:type="dxa"/>
        </w:tblCellMar>
      </w:tblPr>
      <w:tr>
        <w:tc>
          <w:tcPr>
            <w:tcW w:w="9600" w:type="dxa"/>
            <w:shd w:val="clear" w:color="auto" w:fill="FEF2F2"/>
          </w:tcPr>
          <w:p>
            <w:pPr>
              <w:spacing w:before="40" w:after="40"/>
            </w:pPr>
            <w:r>
              <w:rPr>
                <w:b/>
                <w:sz w:val="22"/>
                <w:color w:val="991B1B"/>
              </w:rPr>
              <w:t>🚨 Peringatan Situasi Kritis (Red-Flag)</w:t>
            </w:r>
          </w:p>
          <w:p>
            <w:pPr>
              <w:spacing w:before="0" w:after="40"/>
            </w:pPr>
            <w:r>
              <w:rPr>
                <w:sz w:val="20"/>
                <w:color w:val="334155"/>
              </w:rPr>
              <w:t xml:space="preserve">Jika deskripsi laporan memuat indikasi bahaya jiwa, senjata tajam, atau percobaan bunuh diri, sistem otomatis menaikkan risiko ke CRITICAL dengan SLA 1 jam. Guru BK wajib segera mengamankan korban, berkoordinasi dengan Kepala Sekolah, dan jika perlu menghubungi Layanan Darurat 112 atau SAPA 129 UPTD PPA.</w:t>
            </w:r>
          </w:p>
        </w:tc>
      </w:tr>
    </w:tbl>
    <w:p>
      <w:pPr>
        <w:jc w:val="both"/>
        <w:spacing w:before="40" w:after="120" w:line="276" w:lineRule="auto"/>
      </w:pPr>
      <w:r>
        <w:rPr>
          <w:rFonts w:ascii="Calibri" w:hAnsi="Calibri"/>
          <w:sz w:val="22"/>
          <w:color w:val="334155"/>
        </w:rPr>
        <w:t xml:space="preserve"/>
      </w:r>
    </w:p>
    <w:tbl>
      <w:tblPr>
        <w:tblW w:w="9600" w:type="dxa"/>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20" w:type="dxa"/>
          <w:bottom w:w="120" w:type="dxa"/>
          <w:left w:w="160" w:type="dxa"/>
          <w:right w:w="160" w:type="dxa"/>
        </w:tblCellMar>
      </w:tblPr>
      <w:tr>
        <w:trPr>
          <w:tblHeader/>
        </w:trPr>
        <w:tc>
          <w:tcPr>
            <w:tcW w:w="2600" w:type="dxa"/>
            <w:shd w:val="clear" w:color="auto" w:fill="0F274A"/>
          </w:tcPr>
          <w:p>
            <w:pPr>
              <w:jc w:val="center"/>
              <w:spacing w:before="60" w:after="60"/>
            </w:pPr>
            <w:r>
              <w:rPr>
                <w:b/>
                <w:sz w:val="20"/>
                <w:color w:val="FFFFFF"/>
              </w:rPr>
              <w:t>Permasalahan</w:t>
            </w:r>
          </w:p>
        </w:tc>
        <w:tc>
          <w:tcPr>
            <w:tcW w:w="2600" w:type="dxa"/>
            <w:shd w:val="clear" w:color="auto" w:fill="0F274A"/>
          </w:tcPr>
          <w:p>
            <w:pPr>
              <w:jc w:val="center"/>
              <w:spacing w:before="60" w:after="60"/>
            </w:pPr>
            <w:r>
              <w:rPr>
                <w:b/>
                <w:sz w:val="20"/>
                <w:color w:val="FFFFFF"/>
              </w:rPr>
              <w:t>Penyebab Umum</w:t>
            </w:r>
          </w:p>
        </w:tc>
        <w:tc>
          <w:tcPr>
            <w:tcW w:w="4400" w:type="dxa"/>
            <w:shd w:val="clear" w:color="auto" w:fill="0F274A"/>
          </w:tcPr>
          <w:p>
            <w:pPr>
              <w:jc w:val="center"/>
              <w:spacing w:before="60" w:after="60"/>
            </w:pPr>
            <w:r>
              <w:rPr>
                <w:b/>
                <w:sz w:val="20"/>
                <w:color w:val="FFFFFF"/>
              </w:rPr>
              <w:t>Solusi / Tindakan</w:t>
            </w:r>
          </w:p>
        </w:tc>
      </w:tr>
      <w:tr>
        <w:tc>
          <w:tcPr>
            <w:tcW w:w="2600" w:type="dxa"/>
            <w:shd w:val="clear" w:color="auto" w:fill="FFFFFF"/>
          </w:tcPr>
          <w:p>
            <w:pPr>
              <w:jc w:val="left"/>
              <w:spacing w:before="60" w:after="60"/>
            </w:pPr>
            <w:r>
              <w:rPr>
                <w:sz w:val="20"/>
                <w:color w:val="334155"/>
              </w:rPr>
              <w:t xml:space="preserve">Lupa Kata Sandi Akun BK</w:t>
            </w:r>
          </w:p>
        </w:tc>
        <w:tc>
          <w:tcPr>
            <w:tcW w:w="2600" w:type="dxa"/>
            <w:shd w:val="clear" w:color="auto" w:fill="FFFFFF"/>
          </w:tcPr>
          <w:p>
            <w:pPr>
              <w:jc w:val="left"/>
              <w:spacing w:before="60" w:after="60"/>
            </w:pPr>
            <w:r>
              <w:rPr>
                <w:sz w:val="20"/>
                <w:color w:val="334155"/>
              </w:rPr>
              <w:t xml:space="preserve">Salah input / lupa password</w:t>
            </w:r>
          </w:p>
        </w:tc>
        <w:tc>
          <w:tcPr>
            <w:tcW w:w="4400" w:type="dxa"/>
            <w:shd w:val="clear" w:color="auto" w:fill="FFFFFF"/>
          </w:tcPr>
          <w:p>
            <w:pPr>
              <w:jc w:val="left"/>
              <w:spacing w:before="60" w:after="60"/>
            </w:pPr>
            <w:r>
              <w:rPr>
                <w:sz w:val="20"/>
                <w:color w:val="334155"/>
              </w:rPr>
              <w:t xml:space="preserve">Gunakan fitur Lupa Password di halaman login atau hubungi Administrator Sekolah/Kota untuk reset token aman.</w:t>
            </w:r>
          </w:p>
        </w:tc>
      </w:tr>
      <w:tr>
        <w:tc>
          <w:tcPr>
            <w:tcW w:w="2600" w:type="dxa"/>
            <w:shd w:val="clear" w:color="auto" w:fill="F8FAFC"/>
          </w:tcPr>
          <w:p>
            <w:pPr>
              <w:jc w:val="left"/>
              <w:spacing w:before="60" w:after="60"/>
            </w:pPr>
            <w:r>
              <w:rPr>
                <w:sz w:val="20"/>
                <w:color w:val="334155"/>
              </w:rPr>
              <w:t xml:space="preserve">Pelapor Anonim Tidak Merespons</w:t>
            </w:r>
          </w:p>
        </w:tc>
        <w:tc>
          <w:tcPr>
            <w:tcW w:w="2600" w:type="dxa"/>
            <w:shd w:val="clear" w:color="auto" w:fill="F8FAFC"/>
          </w:tcPr>
          <w:p>
            <w:pPr>
              <w:jc w:val="left"/>
              <w:spacing w:before="60" w:after="60"/>
            </w:pPr>
            <w:r>
              <w:rPr>
                <w:sz w:val="20"/>
                <w:color w:val="334155"/>
              </w:rPr>
              <w:t xml:space="preserve">Pelapor belum mengecek kanal</w:t>
            </w:r>
          </w:p>
        </w:tc>
        <w:tc>
          <w:tcPr>
            <w:tcW w:w="4400" w:type="dxa"/>
            <w:shd w:val="clear" w:color="auto" w:fill="F8FAFC"/>
          </w:tcPr>
          <w:p>
            <w:pPr>
              <w:jc w:val="left"/>
              <w:spacing w:before="60" w:after="60"/>
            </w:pPr>
            <w:r>
              <w:rPr>
                <w:sz w:val="20"/>
                <w:color w:val="334155"/>
              </w:rPr>
              <w:t xml:space="preserve">Kirimkan pesan penegasan empati. Gunakan status WAITING_REPORTER_INFO agar SLA dijeda secara adil.</w:t>
            </w:r>
          </w:p>
        </w:tc>
      </w:tr>
      <w:tr>
        <w:tc>
          <w:tcPr>
            <w:tcW w:w="2600" w:type="dxa"/>
            <w:shd w:val="clear" w:color="auto" w:fill="FFFFFF"/>
          </w:tcPr>
          <w:p>
            <w:pPr>
              <w:jc w:val="left"/>
              <w:spacing w:before="60" w:after="60"/>
            </w:pPr>
            <w:r>
              <w:rPr>
                <w:sz w:val="20"/>
                <w:color w:val="334155"/>
              </w:rPr>
              <w:t xml:space="preserve">Data Siswa Tidak Muncul di Modul Prestasi</w:t>
            </w:r>
          </w:p>
        </w:tc>
        <w:tc>
          <w:tcPr>
            <w:tcW w:w="2600" w:type="dxa"/>
            <w:shd w:val="clear" w:color="auto" w:fill="FFFFFF"/>
          </w:tcPr>
          <w:p>
            <w:pPr>
              <w:jc w:val="left"/>
              <w:spacing w:before="60" w:after="60"/>
            </w:pPr>
            <w:r>
              <w:rPr>
                <w:sz w:val="20"/>
                <w:color w:val="334155"/>
              </w:rPr>
              <w:t xml:space="preserve">Microservice AConnect dalam pemeliharaan</w:t>
            </w:r>
          </w:p>
        </w:tc>
        <w:tc>
          <w:tcPr>
            <w:tcW w:w="4400" w:type="dxa"/>
            <w:shd w:val="clear" w:color="auto" w:fill="FFFFFF"/>
          </w:tcPr>
          <w:p>
            <w:pPr>
              <w:jc w:val="left"/>
              <w:spacing w:before="60" w:after="60"/>
            </w:pPr>
            <w:r>
              <w:rPr>
                <w:sz w:val="20"/>
                <w:color w:val="334155"/>
              </w:rPr>
              <w:t xml:space="preserve">Sistem menyediakan opsi pencatatan manual sementara. Data akan otomatis disinkronkan saat koneksi pulih.</w:t>
            </w:r>
          </w:p>
        </w:tc>
      </w:tr>
    </w:tbl>
    <w:p>
      <w:pPr>
        <w:jc w:val="both"/>
        <w:spacing w:before="40" w:after="120" w:line="276" w:lineRule="auto"/>
      </w:pPr>
      <w:r>
        <w:rPr>
          <w:rFonts w:ascii="Calibri" w:hAnsi="Calibri"/>
          <w:sz w:val="22"/>
          <w:color w:val="334155"/>
        </w:rPr>
        <w:t xml:space="preserve"/>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ont w:name="Calibri Ligh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sz w:val="22"/>
        <w:color w:val="334155"/>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