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360" w:after="120"/>
      </w:pPr>
      <w:r>
        <w:rPr>
          <w:rFonts w:ascii="Calibri" w:hAnsi="Calibri"/>
          <w:b/>
          <w:sz w:val="48"/>
          <w:color w:val="0F274A"/>
        </w:rPr>
        <w:t>SAHABAT SEKOLAH — KOTA BUKITTINGGI</w:t>
      </w:r>
    </w:p>
    <w:p>
      <w:pPr>
        <w:jc w:val="center"/>
        <w:spacing w:before="0" w:after="360"/>
      </w:pPr>
      <w:r>
        <w:rPr>
          <w:rFonts w:ascii="Calibri" w:hAnsi="Calibri"/>
          <w:i/>
          <w:sz w:val="26"/>
          <w:color w:val="3B82F6"/>
        </w:rPr>
        <w:t>Panduan Operasional Monitoring Kota &amp; Penanganan Eskalasi Jenjang 3 bagi Dinas Pendidikan dan UPTD PPA (DP3APPKB)</w:t>
      </w:r>
    </w:p>
    <w:tbl>
      <w:tblPr>
        <w:tblW w:w="9600" w:type="dxa"/>
        <w:jc w:val="center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  <w:tblCellMar>
          <w:top w:w="120" w:type="dxa"/>
          <w:bottom w:w="120" w:type="dxa"/>
          <w:left w:w="180" w:type="dxa"/>
          <w:right w:w="180" w:type="dxa"/>
        </w:tblCellMar>
      </w:tblPr>
      <w:tr>
        <w:tc>
          <w:tcPr>
            <w:tcW w:w="2800" w:type="dxa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  <w:color w:val="1E293B"/>
              </w:rPr>
              <w:t>Nama Dokumen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Buku Panduan Pengguna — Peran Instansi Kota / Satgas PPKSP (CITY_ADMIN)</w:t>
            </w:r>
          </w:p>
        </w:tc>
      </w:tr>
      <w:tr>
        <w:tc>
          <w:tcPr>
            <w:tcW w:w="2800" w:type="dxa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  <w:color w:val="1E293B"/>
              </w:rPr>
              <w:t>Platform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SAHABAT SEKOLAH (Case Management System Penanganan Kekerasan)</w:t>
            </w:r>
          </w:p>
        </w:tc>
      </w:tr>
      <w:tr>
        <w:tc>
          <w:tcPr>
            <w:tcW w:w="2800" w:type="dxa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  <w:color w:val="1E293B"/>
              </w:rPr>
              <w:t>Wilayah Implementasi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Tingkat Kota Bukittinggi (Lintas Satuan Pendidikan SD, SMP, MTs, MIN)</w:t>
            </w:r>
          </w:p>
        </w:tc>
      </w:tr>
      <w:tr>
        <w:tc>
          <w:tcPr>
            <w:tcW w:w="2800" w:type="dxa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  <w:color w:val="1E293B"/>
              </w:rPr>
              <w:t>Dasar Hukum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Permendikbudristek 46/2023, UU Perlindungan Anak, &amp; SK Satgas PPKSP Kota Bukittinggi</w:t>
            </w:r>
          </w:p>
        </w:tc>
      </w:tr>
      <w:tr>
        <w:tc>
          <w:tcPr>
            <w:tcW w:w="2800" w:type="dxa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  <w:color w:val="1E293B"/>
              </w:rPr>
              <w:t>Instansi Terkait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1. Dinas Pendidikan &amp; Kebudayaan Kota Bukittinggi
2. UPTD PPA - DP3APPKB Kota Bukittinggi</w:t>
            </w:r>
          </w:p>
        </w:tc>
      </w:tr>
      <w:tr>
        <w:tc>
          <w:tcPr>
            <w:tcW w:w="2800" w:type="dxa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  <w:color w:val="1E293B"/>
              </w:rPr>
              <w:t>Peruntukan Role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Pejabat Dinas Pendidikan, Petugas UPTD PPA, dan Anggota Satgas PPKSP Kota</w:t>
            </w:r>
          </w:p>
        </w:tc>
      </w:tr>
      <w:tr>
        <w:tc>
          <w:tcPr>
            <w:tcW w:w="2800" w:type="dxa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  <w:color w:val="1E293B"/>
              </w:rPr>
              <w:t>Versi Panduan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1.0 (Oktober 2026)</w:t>
            </w:r>
          </w:p>
        </w:tc>
      </w:tr>
      <w:tr>
        <w:tc>
          <w:tcPr>
            <w:tcW w:w="2800" w:type="dxa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20"/>
                <w:color w:val="1E293B"/>
              </w:rPr>
              <w:t>Klasifikasi Keamanan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Dokumen Kedinasan Strategis &amp; Koordinasi Lintas Sektor (Terbatas)</w:t>
            </w:r>
          </w:p>
        </w:tc>
      </w:tr>
    </w:tbl>
    <w:p>
      <w:pPr>
        <w:jc w:val="both"/>
        <w:spacing w:before="40" w:after="120" w:line="276" w:lineRule="auto"/>
      </w:pPr>
      <w:r>
        <w:rPr>
          <w:rFonts w:ascii="Calibri" w:hAnsi="Calibri"/>
          <w:sz w:val="22"/>
          <w:color w:val="334155"/>
        </w:rPr>
        <w:t xml:space="preserve"/>
      </w:r>
    </w:p>
    <w:p>
      <w:pPr>
        <w:spacing w:before="400" w:after="160"/>
        <w:pBdr>
          <w:bottom w:val="single" w:sz="14" w:space="4" w:color="1D4ED8"/>
        </w:pBdr>
      </w:pPr>
      <w:r>
        <w:rPr>
          <w:rFonts w:ascii="Calibri" w:hAnsi="Calibri"/>
          <w:b/>
          <w:sz w:val="32"/>
          <w:color w:val="0F274A"/>
        </w:rPr>
        <w:t>BAB I: PERAN INSTANSI TINGKAT KOTA DALAM SATGAS PPKSP</w:t>
      </w:r>
    </w:p>
    <w:p>
      <w:pPr>
        <w:jc w:val="both"/>
        <w:spacing w:before="40" w:after="120" w:line="276" w:lineRule="auto"/>
      </w:pPr>
      <w:r>
        <w:rPr>
          <w:rFonts w:ascii="Calibri" w:hAnsi="Calibri"/>
          <w:sz w:val="22"/>
          <w:color w:val="334155"/>
        </w:rPr>
        <w:t xml:space="preserve">Berdasarkan regulasi pencegahan dan penanganan kekerasan, penanganan kasus di satuan pendidikan memerlukan sinergi lintas sektoral di tingkat kota. Peran CITY_ADMIN dirancang untuk mengakomodir dua instansi pilar utama Pemerintah Kota Bukittinggi:</w:t>
      </w:r>
    </w:p>
    <w:p>
      <w:pPr>
        <w:ind w:left="360" w:hanging="240"/>
        <w:spacing w:before="40" w:after="60" w:line="260" w:lineRule="auto"/>
      </w:pPr>
      <w:r>
        <w:rPr>
          <w:rFonts w:ascii="Symbol" w:hAnsi="Symbol"/>
          <w:color w:val="1D4ED8"/>
        </w:rPr>
        <w:t>  </w:t>
      </w:r>
      <w:r>
        <w:rPr>
          <w:b/>
          <w:color w:val="0F274A"/>
          <w:sz w:val="22"/>
        </w:rPr>
        <w:t xml:space="preserve">Dinas Pendidikan &amp; Kebudayaan Kota Bukittinggi (Akun: dinas@sahabat.test): </w:t>
      </w:r>
      <w:r>
        <w:rPr>
          <w:color w:val="334155"/>
          <w:sz w:val="22"/>
        </w:rPr>
        <w:t xml:space="preserve">Berfokus pada pemantauan pembinaan sekolah, kepatuhan satuan pendidikan, penegakan disiplin pendidik/tenaga kependidikan, mutasi administratif, dan pengawasan kurikulum.</w:t>
      </w:r>
    </w:p>
    <w:p>
      <w:pPr>
        <w:ind w:left="360" w:hanging="240"/>
        <w:spacing w:before="40" w:after="60" w:line="260" w:lineRule="auto"/>
      </w:pPr>
      <w:r>
        <w:rPr>
          <w:rFonts w:ascii="Symbol" w:hAnsi="Symbol"/>
          <w:color w:val="1D4ED8"/>
        </w:rPr>
        <w:t>  </w:t>
      </w:r>
      <w:r>
        <w:rPr>
          <w:b/>
          <w:color w:val="0F274A"/>
          <w:sz w:val="22"/>
        </w:rPr>
        <w:t xml:space="preserve">UPTD PPA - DP3APPKB Kota Bukittinggi (Akun: ppa@sahabat.test): </w:t>
      </w:r>
      <w:r>
        <w:rPr>
          <w:color w:val="334155"/>
          <w:sz w:val="22"/>
        </w:rPr>
        <w:t xml:space="preserve">Unit Pelaksana Teknis Daerah Perlindungan Perempuan dan Anak berfokus pada pendampingan korban kekerasan fisik berat, kekerasan/pelecehan seksual, pendampingan hukum terpadu, pemulihan psikologis anak, dan rujukan ke rumah aman.</w:t>
      </w:r>
    </w:p>
    <w:p>
      <w:pPr>
        <w:ind w:left="360" w:hanging="240"/>
        <w:spacing w:before="40" w:after="60" w:line="260" w:lineRule="auto"/>
      </w:pPr>
      <w:r>
        <w:rPr>
          <w:rFonts w:ascii="Symbol" w:hAnsi="Symbol"/>
          <w:color w:val="1D4ED8"/>
        </w:rPr>
        <w:t>  </w:t>
      </w:r>
      <w:r>
        <w:rPr>
          <w:b/>
          <w:color w:val="0F274A"/>
          <w:sz w:val="22"/>
        </w:rPr>
        <w:t xml:space="preserve">Satgas PPKSP Kota Bukittinggi (Gabungan Disdik &amp; UPTD PPA): </w:t>
      </w:r>
      <w:r>
        <w:rPr>
          <w:color w:val="334155"/>
          <w:sz w:val="22"/>
        </w:rPr>
        <w:t xml:space="preserve">Wadah koordinasi terpadu untuk menyelesaikan kasus darurat, situasi krisis lintas sektor, atau kasus yang memerlukan intervensi multi-pihak.</w:t>
      </w:r>
    </w:p>
    <w:p>
      <w:pPr>
        <w:spacing w:before="400" w:after="160"/>
        <w:pBdr>
          <w:bottom w:val="single" w:sz="14" w:space="4" w:color="1D4ED8"/>
        </w:pBdr>
      </w:pPr>
      <w:r>
        <w:rPr>
          <w:rFonts w:ascii="Calibri" w:hAnsi="Calibri"/>
          <w:b/>
          <w:sz w:val="32"/>
          <w:color w:val="0F274A"/>
        </w:rPr>
        <w:t>BAB II: FITUR &amp; HAK AKSES LINTAS SEKOLAH (CITY-WIDE SCOPE)</w:t>
      </w:r>
    </w:p>
    <w:p>
      <w:pPr>
        <w:jc w:val="both"/>
        <w:spacing w:before="40" w:after="120" w:line="276" w:lineRule="auto"/>
      </w:pPr>
      <w:r>
        <w:rPr>
          <w:rFonts w:ascii="Calibri" w:hAnsi="Calibri"/>
          <w:sz w:val="22"/>
          <w:color w:val="334155"/>
        </w:rPr>
        <w:t xml:space="preserve">Berbeda dengan staf sekolah yang terisolasi pada 1 NPSN, akun CITY_ADMIN memiliki parameter khusus 'school_npsn = null' yang membuka akses pemantauan ke seluruh satuan pendidikan (SD, SMP, MTs, MIN) se-Kota Bukittinggi:</w:t>
      </w:r>
    </w:p>
    <w:tbl>
      <w:tblPr>
        <w:tblW w:w="9600" w:type="dxa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tcW w:w="2400" w:type="dxa"/>
            <w:shd w:val="clear" w:color="auto" w:fill="0F274A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Modul / Fitur</w:t>
            </w:r>
          </w:p>
        </w:tc>
        <w:tc>
          <w:tcPr>
            <w:tcW w:w="4400" w:type="dxa"/>
            <w:shd w:val="clear" w:color="auto" w:fill="0F274A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Hak Akses Instansi Kota</w:t>
            </w:r>
          </w:p>
        </w:tc>
        <w:tc>
          <w:tcPr>
            <w:tcW w:w="2800" w:type="dxa"/>
            <w:shd w:val="clear" w:color="auto" w:fill="0F274A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FFFFFF"/>
              </w:rPr>
              <w:t>Manfaat Operasional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Dashboard Monitoring Kota</w:t>
            </w:r>
          </w:p>
        </w:tc>
        <w:tc>
          <w:tcPr>
            <w:tcW w:w="44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Melihat grafik tren perundungan per bulan, rasio SLA kota, dan sebaran status kasus se-Bukittinggi</w:t>
            </w:r>
          </w:p>
        </w:tc>
        <w:tc>
          <w:tcPr>
            <w:tcW w:w="28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Pemetaan zona kerawanan dan evaluasi performa penanganan antar-sekolah</w:t>
            </w:r>
          </w:p>
        </w:tc>
      </w:tr>
      <w:tr>
        <w:tc>
          <w:tcPr>
            <w:tcW w:w="24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Penanganan Eskalasi Jenjang 3</w:t>
            </w:r>
          </w:p>
        </w:tc>
        <w:tc>
          <w:tcPr>
            <w:tcW w:w="44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Menerima notifikasi email prioritas khusus untuk kasus yang dieskalasikan oleh Guru BK ke instansi kota</w:t>
            </w:r>
          </w:p>
        </w:tc>
        <w:tc>
          <w:tcPr>
            <w:tcW w:w="28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Intervensi langsung sebelum kasus membesar atau viral di masyarakat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Detail Kasus Terbuka</w:t>
            </w:r>
          </w:p>
        </w:tc>
        <w:tc>
          <w:tcPr>
            <w:tcW w:w="44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Membuka rincian kasus sekolah mana pun tanpa hambatan sekat NPSN</w:t>
            </w:r>
          </w:p>
        </w:tc>
        <w:tc>
          <w:tcPr>
            <w:tcW w:w="28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Pemeriksaan kronologi, catatan mediasi, dan bukti pendukung secara akurat</w:t>
            </w:r>
          </w:p>
        </w:tc>
      </w:tr>
      <w:tr>
        <w:tc>
          <w:tcPr>
            <w:tcW w:w="24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Direktori Data Sekolah</w:t>
            </w:r>
          </w:p>
        </w:tc>
        <w:tc>
          <w:tcPr>
            <w:tcW w:w="44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Memantau daftar seluruh sekolah terdaftar dan keterhubungan AConnect</w:t>
            </w:r>
          </w:p>
        </w:tc>
        <w:tc>
          <w:tcPr>
            <w:tcW w:w="28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sz w:val="20"/>
                <w:color w:val="334155"/>
              </w:rPr>
              <w:t xml:space="preserve">Memastikan seluruh sekolah memiliki perwakilan petugas BK/TPPK aktif</w:t>
            </w:r>
          </w:p>
        </w:tc>
      </w:tr>
    </w:tbl>
    <w:p>
      <w:pPr>
        <w:jc w:val="both"/>
        <w:spacing w:before="40" w:after="120" w:line="276" w:lineRule="auto"/>
      </w:pPr>
      <w:r>
        <w:rPr>
          <w:rFonts w:ascii="Calibri" w:hAnsi="Calibri"/>
          <w:sz w:val="22"/>
          <w:color w:val="334155"/>
        </w:rPr>
        <w:t xml:space="preserve"/>
      </w:r>
    </w:p>
    <w:p>
      <w:pPr>
        <w:spacing w:before="400" w:after="160"/>
        <w:pBdr>
          <w:bottom w:val="single" w:sz="14" w:space="4" w:color="1D4ED8"/>
        </w:pBdr>
      </w:pPr>
      <w:r>
        <w:rPr>
          <w:rFonts w:ascii="Calibri" w:hAnsi="Calibri"/>
          <w:b/>
          <w:sz w:val="32"/>
          <w:color w:val="0F274A"/>
        </w:rPr>
        <w:t>BAB III: TATA CARA PENGGUNAAN APLIKASI TINGKAT KOTA</w:t>
      </w:r>
    </w:p>
    <w:p>
      <w:pPr>
        <w:spacing w:before="280" w:after="100"/>
      </w:pPr>
      <w:r>
        <w:rPr>
          <w:rFonts w:ascii="Calibri" w:hAnsi="Calibri"/>
          <w:b/>
          <w:sz w:val="26"/>
          <w:color w:val="1E40AF"/>
        </w:rPr>
        <w:t>3.1. Masuk ke Akun Instansi</w:t>
      </w:r>
    </w:p>
    <w:p>
      <w:pPr>
        <w:ind w:left="480" w:hanging="480"/>
        <w:spacing w:before="120" w:after="40"/>
      </w:pPr>
      <w:r>
        <w:rPr>
          <w:b/>
          <w:sz w:val="22"/>
          <w:color w:val="1D4ED8"/>
        </w:rPr>
        <w:t>1. </w:t>
      </w:r>
      <w:r>
        <w:rPr>
          <w:b/>
          <w:sz w:val="22"/>
          <w:color w:val="0F274A"/>
        </w:rPr>
        <w:t xml:space="preserve">Akses Portal: </w:t>
      </w:r>
      <w:r>
        <w:rPr>
          <w:sz w:val="22"/>
          <w:color w:val="334155"/>
        </w:rPr>
        <w:t xml:space="preserve">Buka halaman login petugas pada sistem Sahabat Sekolah.</w:t>
      </w:r>
    </w:p>
    <w:p>
      <w:pPr>
        <w:ind w:left="480" w:hanging="480"/>
        <w:spacing w:before="120" w:after="40"/>
      </w:pPr>
      <w:r>
        <w:rPr>
          <w:b/>
          <w:sz w:val="22"/>
          <w:color w:val="1D4ED8"/>
        </w:rPr>
        <w:t>2. </w:t>
      </w:r>
      <w:r>
        <w:rPr>
          <w:b/>
          <w:sz w:val="22"/>
          <w:color w:val="0F274A"/>
        </w:rPr>
        <w:t xml:space="preserve">Gunakan Email Instansi: </w:t>
      </w:r>
      <w:r>
        <w:rPr>
          <w:sz w:val="22"/>
          <w:color w:val="334155"/>
        </w:rPr>
        <w:t xml:space="preserve">Gunakan akun resmi instansi Anda:
• Dinas Pendidikan: dinas@sahabat.test
• UPTD PPA DP3APPKB: ppa@sahabat.test</w:t>
      </w:r>
    </w:p>
    <w:p>
      <w:pPr>
        <w:ind w:left="480" w:hanging="480"/>
        <w:spacing w:before="120" w:after="40"/>
      </w:pPr>
      <w:r>
        <w:rPr>
          <w:b/>
          <w:sz w:val="22"/>
          <w:color w:val="1D4ED8"/>
        </w:rPr>
        <w:t>3. </w:t>
      </w:r>
      <w:r>
        <w:rPr>
          <w:b/>
          <w:sz w:val="22"/>
          <w:color w:val="0F274A"/>
        </w:rPr>
        <w:t xml:space="preserve">Masuk ke Dashboard Kota: </w:t>
      </w:r>
      <w:r>
        <w:rPr>
          <w:sz w:val="22"/>
          <w:color w:val="334155"/>
        </w:rPr>
        <w:t xml:space="preserve">Sistem otomatis mengarahkan Anda ke Dashboard Monitoring Kota (/admin).</w:t>
      </w:r>
    </w:p>
    <w:p>
      <w:pPr>
        <w:spacing w:before="280" w:after="100"/>
      </w:pPr>
      <w:r>
        <w:rPr>
          <w:rFonts w:ascii="Calibri" w:hAnsi="Calibri"/>
          <w:b/>
          <w:sz w:val="26"/>
          <w:color w:val="1E40AF"/>
        </w:rPr>
        <w:t>3.2. Menerima &amp; Menindaklanjuti Kasus Eskalasi Jenjang 3</w:t>
      </w:r>
    </w:p>
    <w:p>
      <w:pPr>
        <w:jc w:val="both"/>
        <w:spacing w:before="40" w:after="120" w:line="276" w:lineRule="auto"/>
      </w:pPr>
      <w:r>
        <w:rPr>
          <w:rFonts w:ascii="Calibri" w:hAnsi="Calibri"/>
          <w:sz w:val="22"/>
          <w:color w:val="334155"/>
        </w:rPr>
        <w:t xml:space="preserve">Ketika Guru BK mengeskalasikan kasus ke tingkat kota, sistem melakukan penyaringan sasaran cerdas:</w:t>
      </w:r>
    </w:p>
    <w:p>
      <w:pPr>
        <w:ind w:left="360" w:hanging="240"/>
        <w:spacing w:before="40" w:after="60" w:line="260" w:lineRule="auto"/>
      </w:pPr>
      <w:r>
        <w:rPr>
          <w:rFonts w:ascii="Symbol" w:hAnsi="Symbol"/>
          <w:color w:val="1D4ED8"/>
        </w:rPr>
        <w:t>  </w:t>
      </w:r>
      <w:r>
        <w:rPr>
          <w:b/>
          <w:color w:val="0F274A"/>
          <w:sz w:val="22"/>
        </w:rPr>
        <w:t xml:space="preserve">Kasus untuk Dinas Pendidikan (CITY_DISDIK): </w:t>
      </w:r>
      <w:r>
        <w:rPr>
          <w:color w:val="334155"/>
          <w:sz w:val="22"/>
        </w:rPr>
        <w:t xml:space="preserve">Email dan notifikasi terkirim ke dinas@sahabat.test. Pejabat Disdik dapat meninjau pelanggaran tata tertib sekolah, kelalaian guru, atau kebutuhan mediasi dinas.</w:t>
      </w:r>
    </w:p>
    <w:p>
      <w:pPr>
        <w:ind w:left="360" w:hanging="240"/>
        <w:spacing w:before="40" w:after="60" w:line="260" w:lineRule="auto"/>
      </w:pPr>
      <w:r>
        <w:rPr>
          <w:rFonts w:ascii="Symbol" w:hAnsi="Symbol"/>
          <w:color w:val="1D4ED8"/>
        </w:rPr>
        <w:t>  </w:t>
      </w:r>
      <w:r>
        <w:rPr>
          <w:b/>
          <w:color w:val="0F274A"/>
          <w:sz w:val="22"/>
        </w:rPr>
        <w:t xml:space="preserve">Kasus untuk UPTD PPA (CITY_PPA): </w:t>
      </w:r>
      <w:r>
        <w:rPr>
          <w:color w:val="334155"/>
          <w:sz w:val="22"/>
        </w:rPr>
        <w:t xml:space="preserve">Email dan notifikasi terkirim ke ppa@sahabat.test. Petugas UPTD PPA dapat langsung menyiapkan tim pekerja sosial (peksos), psikolog anak, atau pendampingan visum dan hukum.</w:t>
      </w:r>
    </w:p>
    <w:p>
      <w:pPr>
        <w:ind w:left="360" w:hanging="240"/>
        <w:spacing w:before="40" w:after="60" w:line="260" w:lineRule="auto"/>
      </w:pPr>
      <w:r>
        <w:rPr>
          <w:rFonts w:ascii="Symbol" w:hAnsi="Symbol"/>
          <w:color w:val="1D4ED8"/>
        </w:rPr>
        <w:t>  </w:t>
      </w:r>
      <w:r>
        <w:rPr>
          <w:b/>
          <w:color w:val="0F274A"/>
          <w:sz w:val="22"/>
        </w:rPr>
        <w:t xml:space="preserve">Kasus untuk Satgas Gabungan (CITY_SATGAS): </w:t>
      </w:r>
      <w:r>
        <w:rPr>
          <w:color w:val="334155"/>
          <w:sz w:val="22"/>
        </w:rPr>
        <w:t xml:space="preserve">Notifikasi terkirim ke kedua instansi sekaligus untuk agenda rapat koordinasi darurat dan intervensi gabungan.</w:t>
      </w:r>
    </w:p>
    <w:p>
      <w:pPr>
        <w:ind w:left="480" w:hanging="480"/>
        <w:spacing w:before="120" w:after="40"/>
      </w:pPr>
      <w:r>
        <w:rPr>
          <w:b/>
          <w:sz w:val="22"/>
          <w:color w:val="1D4ED8"/>
        </w:rPr>
        <w:t>1. </w:t>
      </w:r>
      <w:r>
        <w:rPr>
          <w:b/>
          <w:sz w:val="22"/>
          <w:color w:val="0F274A"/>
        </w:rPr>
        <w:t xml:space="preserve">Buka Tautan Kasus: </w:t>
      </w:r>
      <w:r>
        <w:rPr>
          <w:sz w:val="22"/>
          <w:color w:val="334155"/>
        </w:rPr>
        <w:t xml:space="preserve">Klik tautan kasus pada email notifikasi atau pilih nomor kasus pada tabel 'Kasus Memerlukan Perhatian Kota' di dashboard.</w:t>
      </w:r>
    </w:p>
    <w:p>
      <w:pPr>
        <w:ind w:left="480" w:hanging="480"/>
        <w:spacing w:before="120" w:after="40"/>
      </w:pPr>
      <w:r>
        <w:rPr>
          <w:b/>
          <w:sz w:val="22"/>
          <w:color w:val="1D4ED8"/>
        </w:rPr>
        <w:t>2. </w:t>
      </w:r>
      <w:r>
        <w:rPr>
          <w:b/>
          <w:sz w:val="22"/>
          <w:color w:val="0F274A"/>
        </w:rPr>
        <w:t xml:space="preserve">Pelajari Rekam Jejak Kasus: </w:t>
      </w:r>
      <w:r>
        <w:rPr>
          <w:sz w:val="22"/>
          <w:color w:val="334155"/>
        </w:rPr>
        <w:t xml:space="preserve">Tinjau riwayat asesmen risiko, bukti foto/tangkapan layar, dan riwayat catatan yang telah dibuat Guru BK.</w:t>
      </w:r>
    </w:p>
    <w:p>
      <w:pPr>
        <w:ind w:left="480" w:hanging="480"/>
        <w:spacing w:before="120" w:after="40"/>
      </w:pPr>
      <w:r>
        <w:rPr>
          <w:b/>
          <w:sz w:val="22"/>
          <w:color w:val="1D4ED8"/>
        </w:rPr>
        <w:t>3. </w:t>
      </w:r>
      <w:r>
        <w:rPr>
          <w:b/>
          <w:sz w:val="22"/>
          <w:color w:val="0F274A"/>
        </w:rPr>
        <w:t xml:space="preserve">Lakukan Koordinasi / Disposisi Luar Jaringan: </w:t>
      </w:r>
      <w:r>
        <w:rPr>
          <w:sz w:val="22"/>
          <w:color w:val="334155"/>
        </w:rPr>
        <w:t xml:space="preserve">Hubungi sekolah, jadwalkan kunjungan lapangan, atau siapkan perlindungan korban sesuai SOP masing-masing dinas.</w:t>
      </w:r>
    </w:p>
    <w:tbl>
      <w:tblPr>
        <w:tblW w:w="9600" w:type="dxa"/>
        <w:jc w:val="center"/>
        <w:tblBorders>
          <w:top w:val="none"/>
          <w:left w:val="single" w:sz="36" w:space="0" w:color="2563EB"/>
          <w:bottom w:val="none"/>
          <w:right w:val="none"/>
        </w:tblBorders>
        <w:tblCellMar>
          <w:top w:w="160" w:type="dxa"/>
          <w:bottom w:w="160" w:type="dxa"/>
          <w:left w:w="240" w:type="dxa"/>
          <w:right w:w="240" w:type="dxa"/>
        </w:tblCellMar>
      </w:tblPr>
      <w:tr>
        <w:tc>
          <w:tcPr>
            <w:tcW w:w="9600" w:type="dxa"/>
            <w:shd w:val="clear" w:color="auto" w:fill="EFF6FF"/>
          </w:tcPr>
          <w:p>
            <w:pPr>
              <w:spacing w:before="40" w:after="40"/>
            </w:pPr>
            <w:r>
              <w:rPr>
                <w:b/>
                <w:sz w:val="22"/>
                <w:color w:val="1E40AF"/>
              </w:rPr>
              <w:t>ℹ️ Pemisahan Wewenang Penutupan Kasus</w:t>
            </w:r>
          </w:p>
          <w:p>
            <w:pPr>
              <w:spacing w:before="0" w:after="40"/>
            </w:pPr>
            <w:r>
              <w:rPr>
                <w:sz w:val="20"/>
                <w:color w:val="334155"/>
              </w:rPr>
              <w:t xml:space="preserve">Meskipun memiliki hak pantau penuh, penutupan resmi kasus (status CLOSED) tetap menjadi tanggung jawab Guru BK sekolah bersama dokumen penyelesaian resmi, guna menjaga rantai akuntabilitas satuan pendidikan.</w:t>
            </w:r>
          </w:p>
        </w:tc>
      </w:tr>
    </w:tbl>
    <w:p>
      <w:pPr>
        <w:jc w:val="both"/>
        <w:spacing w:before="40" w:after="120" w:line="276" w:lineRule="auto"/>
      </w:pPr>
      <w:r>
        <w:rPr>
          <w:rFonts w:ascii="Calibri" w:hAnsi="Calibri"/>
          <w:sz w:val="22"/>
          <w:color w:val="334155"/>
        </w:rPr>
        <w:t xml:space="preserve"/>
      </w:r>
    </w:p>
    <w:p>
      <w:pPr>
        <w:spacing w:before="400" w:after="160"/>
        <w:pBdr>
          <w:bottom w:val="single" w:sz="14" w:space="4" w:color="1D4ED8"/>
        </w:pBdr>
      </w:pPr>
      <w:r>
        <w:rPr>
          <w:rFonts w:ascii="Calibri" w:hAnsi="Calibri"/>
          <w:b/>
          <w:sz w:val="32"/>
          <w:color w:val="0F274A"/>
        </w:rPr>
        <w:t>BAB IV: ANALISIS STATISTIK &amp; PERUMUSAN KEBIJAKAN KOTA</w:t>
      </w:r>
    </w:p>
    <w:p>
      <w:pPr>
        <w:jc w:val="both"/>
        <w:spacing w:before="40" w:after="120" w:line="276" w:lineRule="auto"/>
      </w:pPr>
      <w:r>
        <w:rPr>
          <w:rFonts w:ascii="Calibri" w:hAnsi="Calibri"/>
          <w:sz w:val="22"/>
          <w:color w:val="334155"/>
        </w:rPr>
        <w:t xml:space="preserve">Dashboard kota menyajikan grafik ApexCharts interaktif yang diperbarui secara real-time:</w:t>
      </w:r>
    </w:p>
    <w:p>
      <w:pPr>
        <w:ind w:left="360" w:hanging="240"/>
        <w:spacing w:before="40" w:after="60" w:line="260" w:lineRule="auto"/>
      </w:pPr>
      <w:r>
        <w:rPr>
          <w:rFonts w:ascii="Symbol" w:hAnsi="Symbol"/>
          <w:color w:val="1D4ED8"/>
        </w:rPr>
        <w:t>  </w:t>
      </w:r>
      <w:r>
        <w:rPr>
          <w:b/>
          <w:color w:val="0F274A"/>
          <w:sz w:val="22"/>
        </w:rPr>
        <w:t xml:space="preserve">Grafik Tren Bulanan: </w:t>
      </w:r>
      <w:r>
        <w:rPr>
          <w:color w:val="334155"/>
          <w:sz w:val="22"/>
        </w:rPr>
        <w:t xml:space="preserve">Memantau lonjakan laporan pada bulan-bulan tertentu (misalnya masa orientasi peserta didik baru/MPLS atau menjelang ujian).</w:t>
      </w:r>
    </w:p>
    <w:p>
      <w:pPr>
        <w:ind w:left="360" w:hanging="240"/>
        <w:spacing w:before="40" w:after="60" w:line="260" w:lineRule="auto"/>
      </w:pPr>
      <w:r>
        <w:rPr>
          <w:rFonts w:ascii="Symbol" w:hAnsi="Symbol"/>
          <w:color w:val="1D4ED8"/>
        </w:rPr>
        <w:t>  </w:t>
      </w:r>
      <w:r>
        <w:rPr>
          <w:b/>
          <w:color w:val="0F274A"/>
          <w:sz w:val="22"/>
        </w:rPr>
        <w:t xml:space="preserve">Donut Chart Kepatuhan SLA: </w:t>
      </w:r>
      <w:r>
        <w:rPr>
          <w:color w:val="334155"/>
          <w:sz w:val="22"/>
        </w:rPr>
        <w:t xml:space="preserve">Memonitor apakah sekolah-sekolah di Bukittinggi responsif dalam mematuhi standar pelayanan minimal penanganan perundungan.</w:t>
      </w:r>
    </w:p>
    <w:p>
      <w:pPr>
        <w:ind w:left="360" w:hanging="240"/>
        <w:spacing w:before="40" w:after="60" w:line="260" w:lineRule="auto"/>
      </w:pPr>
      <w:r>
        <w:rPr>
          <w:rFonts w:ascii="Symbol" w:hAnsi="Symbol"/>
          <w:color w:val="1D4ED8"/>
        </w:rPr>
        <w:t>  </w:t>
      </w:r>
      <w:r>
        <w:rPr>
          <w:b/>
          <w:color w:val="0F274A"/>
          <w:sz w:val="22"/>
        </w:rPr>
        <w:t xml:space="preserve">Sebaran Kategori Kekerasan: </w:t>
      </w:r>
      <w:r>
        <w:rPr>
          <w:color w:val="334155"/>
          <w:sz w:val="22"/>
        </w:rPr>
        <w:t xml:space="preserve">Melihat dominasi kasus apakah perundungan siber (cyberbullying), kekerasan fisik, verbal, atau relasional sosial untuk dasar alokasi program penyuluhan kota.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/>
  <w:font w:name="Calibri Light"/>
</w:fonts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4155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