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МИНИСТЕРСТВО НАУКИ И ВЫСШЕГО ОБРАЗОВАНИЯ РОССИЙСКОЙ ФЕДЕРАЦИИ</w:t>
      </w:r>
      <w:r>
        <w:rPr>
          <w:rFonts w:ascii="Noto Serif" w:hAnsi="Noto Serif" w:cs="Noto Serif" w:eastAsia="Noto Serif"/>
          <w:b w:val="false"/>
          <w:sz w:val="24"/>
          <w:u w:val="none"/>
        </w:rPr>
      </w:r>
      <w:r>
        <w:rPr>
          <w:b w:val="false"/>
          <w:sz w:val="24"/>
          <w:u w:val="none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Федеральное государственное образовательное учреждение высшего образования «Омский государственный технический университет»</w:t>
      </w:r>
      <w:r>
        <w:rPr>
          <w:rFonts w:ascii="Noto Serif" w:hAnsi="Noto Serif" w:cs="Noto Serif" w:eastAsia="Noto Serif"/>
          <w:b w:val="false"/>
          <w:sz w:val="24"/>
          <w:u w:val="none"/>
        </w:rPr>
      </w:r>
      <w:r>
        <w:rPr>
          <w:b w:val="false"/>
          <w:sz w:val="24"/>
          <w:u w:val="none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Факультет информационных технологий и компьютерных систем</w:t>
      </w:r>
      <w:r>
        <w:rPr>
          <w:rFonts w:ascii="Noto Serif" w:hAnsi="Noto Serif" w:cs="Noto Serif" w:eastAsia="Noto Serif"/>
          <w:b w:val="false"/>
          <w:sz w:val="24"/>
          <w:u w:val="none"/>
        </w:rPr>
      </w:r>
      <w:r>
        <w:rPr>
          <w:b w:val="false"/>
          <w:sz w:val="24"/>
          <w:u w:val="none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Кафедра 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«Прикладная математика и фундаментальная информатика»</w:t>
      </w:r>
      <w:r>
        <w:rPr>
          <w:rFonts w:ascii="Noto Serif" w:hAnsi="Noto Serif" w:cs="Noto Serif" w:eastAsia="Noto Serif"/>
          <w:b w:val="false"/>
          <w:sz w:val="24"/>
          <w:u w:val="none"/>
        </w:rPr>
      </w:r>
      <w:r>
        <w:rPr>
          <w:b w:val="false"/>
          <w:sz w:val="24"/>
          <w:u w:val="none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b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Расчётно-графическая работа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609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976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по дисциплине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095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Алгебра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976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на тему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W w:w="6095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Линейные пространства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</w:tr>
    </w:tbl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tbl>
      <w:tblPr>
        <w:tblStyle w:val="668"/>
        <w:tblW w:w="0" w:type="auto"/>
        <w:tblInd w:w="1363" w:type="dxa"/>
        <w:tblLayout w:type="fixed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</w:tblGrid>
      <w:tr>
        <w:trPr>
          <w:trHeight w:val="33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jc w:val="left"/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Студента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810" w:type="dxa"/>
            <w:textDirection w:val="lrTb"/>
            <w:noWrap w:val="false"/>
          </w:tcPr>
          <w:p>
            <w:pPr>
              <w:jc w:val="left"/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Курпенова Куата Ибраимовича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</w:tr>
      <w:tr>
        <w:trPr>
          <w:trHeight w:val="3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810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  <w:t xml:space="preserve">фамилия, имя, отчество полностью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r>
          </w:p>
        </w:tc>
      </w:tr>
      <w:tr>
        <w:trPr>
          <w:trHeight w:val="37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Курс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1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Группа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ФИТ-212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</w:tr>
      <w:tr>
        <w:trPr>
          <w:trHeight w:val="653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Направление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810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02.03.02 Фундаментальная информатика и информационные технологии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  <w:r>
              <w:rPr>
                <w:rFonts w:ascii="Noto Serif" w:hAnsi="Noto Serif" w:cs="Noto Serif" w:eastAsia="Noto Serif"/>
                <w:sz w:val="24"/>
              </w:rPr>
            </w:r>
            <w:r>
              <w:rPr>
                <w:rFonts w:ascii="Noto Serif" w:hAnsi="Noto Serif" w:cs="Noto Serif" w:eastAsia="Noto Serif"/>
                <w:sz w:val="24"/>
              </w:rPr>
            </w:r>
            <w:r>
              <w:rPr>
                <w:rFonts w:ascii="Noto Serif" w:hAnsi="Noto Serif" w:cs="Noto Serif" w:eastAsia="Noto Serif"/>
                <w:sz w:val="24"/>
              </w:rPr>
            </w:r>
          </w:p>
        </w:tc>
      </w:tr>
      <w:tr>
        <w:trPr>
          <w:trHeight w:val="3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810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  <w:t xml:space="preserve">код, наименование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r>
          </w:p>
        </w:tc>
      </w:tr>
      <w:tr>
        <w:trPr>
          <w:trHeight w:val="40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Руководитель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810" w:type="dxa"/>
            <w:textDirection w:val="lrTb"/>
            <w:noWrap w:val="false"/>
          </w:tcPr>
          <w:p>
            <w:pPr>
              <w:jc w:val="left"/>
              <w:rPr>
                <w:rFonts w:ascii="Noto Serif" w:hAnsi="Noto Serif" w:cs="Noto Serif" w:eastAsia="Noto Serif"/>
                <w:sz w:val="24"/>
                <w:szCs w:val="20"/>
              </w:rPr>
            </w:pPr>
            <w:r>
              <w:rPr>
                <w:rFonts w:ascii="Noto Serif" w:hAnsi="Noto Serif" w:cs="Noto Serif" w:eastAsia="Noto Serif"/>
                <w:sz w:val="24"/>
              </w:rPr>
              <w:t xml:space="preserve">доц., канд. физ.-мат. наук</w:t>
            </w:r>
            <w:r>
              <w:rPr>
                <w:rFonts w:ascii="Noto Serif" w:hAnsi="Noto Serif" w:cs="Noto Serif" w:eastAsia="Noto Serif"/>
                <w:sz w:val="24"/>
              </w:rPr>
            </w:r>
          </w:p>
        </w:tc>
      </w:tr>
      <w:tr>
        <w:trPr>
          <w:trHeight w:val="37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810" w:type="dxa"/>
            <w:textDirection w:val="lrTb"/>
            <w:noWrap w:val="false"/>
          </w:tcPr>
          <w:p>
            <w:pPr>
              <w:jc w:val="center"/>
              <w:rPr>
                <w:rFonts w:ascii="Noto Serif" w:hAnsi="Noto Serif" w:cs="Noto Serif" w:eastAsia="Noto Serif"/>
                <w:sz w:val="24"/>
                <w:vertAlign w:val="superscript"/>
              </w:rPr>
            </w:pPr>
            <w:r>
              <w:rPr>
                <w:rFonts w:ascii="Noto Serif" w:hAnsi="Noto Serif" w:cs="Noto Serif" w:eastAsia="Noto Serif"/>
                <w:sz w:val="24"/>
                <w:vertAlign w:val="superscript"/>
              </w:rPr>
              <w:t xml:space="preserve">должность, учёная степень, звание</w:t>
            </w:r>
            <w:r>
              <w:rPr>
                <w:rFonts w:ascii="Noto Serif" w:hAnsi="Noto Serif" w:cs="Noto Serif" w:eastAsia="Noto Serif"/>
                <w:sz w:val="24"/>
                <w:vertAlign w:val="superscript"/>
              </w:rPr>
            </w:r>
          </w:p>
        </w:tc>
      </w:tr>
      <w:tr>
        <w:trPr>
          <w:trHeight w:val="32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810" w:type="dxa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Финк Т. Ю.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</w:tr>
      <w:tr>
        <w:trPr>
          <w:trHeight w:val="3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810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  <w:t xml:space="preserve">фамилия, инициалы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r>
          </w:p>
        </w:tc>
      </w:tr>
      <w:tr>
        <w:trPr>
          <w:trHeight w:val="3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  <w:t xml:space="preserve">Выполнил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810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</w:tr>
      <w:tr>
        <w:trPr>
          <w:trHeight w:val="3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810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  <w:t xml:space="preserve">дата, подпись студента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r>
          </w:p>
        </w:tc>
      </w:tr>
      <w:tr>
        <w:trPr>
          <w:trHeight w:val="3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1937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</w:rPr>
            </w:r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810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baseline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baseline"/>
              </w:rPr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baseline"/>
              </w:rPr>
            </w:r>
          </w:p>
        </w:tc>
      </w:tr>
      <w:tr>
        <w:trPr>
          <w:trHeight w:val="326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937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  <w:t xml:space="preserve">баллы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r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810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pP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  <w:t xml:space="preserve">дата, подпись руководителя</w:t>
            </w:r>
            <w:r>
              <w:rPr>
                <w:rFonts w:ascii="Noto Serif" w:hAnsi="Noto Serif" w:cs="Noto Serif" w:eastAsia="Noto Serif"/>
                <w:b w:val="false"/>
                <w:sz w:val="24"/>
                <w:highlight w:val="none"/>
                <w:u w:val="none"/>
                <w:vertAlign w:val="superscript"/>
              </w:rPr>
            </w:r>
          </w:p>
        </w:tc>
      </w:tr>
    </w:tbl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center"/>
        <w:shd w:val="nil"/>
        <w:rPr>
          <w:rFonts w:ascii="Noto Serif" w:hAnsi="Noto Serif" w:cs="Noto Serif" w:eastAsia="Noto Serif"/>
          <w:b/>
          <w:sz w:val="28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Омск 202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1</w:t>
      </w:r>
      <w:r>
        <w:rPr>
          <w:rFonts w:ascii="Noto Serif" w:hAnsi="Noto Serif" w:cs="Noto Serif" w:eastAsia="Noto Serif"/>
          <w:b/>
          <w:sz w:val="28"/>
          <w:highlight w:val="none"/>
          <w:u w:val="single"/>
        </w:rPr>
        <w:br w:type="page"/>
      </w:r>
      <w:r>
        <w:rPr>
          <w:rFonts w:ascii="Noto Serif" w:hAnsi="Noto Serif" w:cs="Noto Serif" w:eastAsia="Noto Serif"/>
          <w:b/>
          <w:sz w:val="28"/>
          <w:highlight w:val="none"/>
          <w:u w:val="single"/>
        </w:rPr>
      </w:r>
    </w:p>
    <w:p>
      <w:pPr>
        <w:jc w:val="both"/>
        <w:rPr>
          <w:rFonts w:ascii="Noto Serif" w:hAnsi="Noto Serif" w:cs="Noto Serif" w:eastAsia="Noto Serif"/>
          <w:b/>
          <w:sz w:val="28"/>
          <w:highlight w:val="none"/>
          <w:u w:val="single"/>
        </w:rPr>
      </w:pPr>
      <w:r>
        <w:rPr>
          <w:rFonts w:ascii="Noto Serif" w:hAnsi="Noto Serif" w:cs="Noto Serif" w:eastAsia="Noto Serif"/>
          <w:b/>
          <w:sz w:val="28"/>
          <w:u w:val="single"/>
        </w:rPr>
        <w:t xml:space="preserve">Условие:</w:t>
      </w:r>
      <w:r>
        <w:rPr>
          <w:rFonts w:ascii="Noto Serif" w:hAnsi="Noto Serif" w:cs="Noto Serif" w:eastAsia="Noto Serif"/>
          <w:sz w:val="28"/>
        </w:rPr>
      </w:r>
      <w:r/>
    </w:p>
    <w:p>
      <w:pPr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</w:rPr>
        <w:t xml:space="preserve">Образует ли линейное пространство заданное множество, в котором определены суммы любым двух элементов </w:t>
      </w:r>
      <w:r>
        <w:rPr>
          <w:rFonts w:ascii="Noto Serif" w:hAnsi="Noto Serif" w:cs="Noto Serif" w:eastAsia="Noto Serif"/>
          <w:sz w:val="28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</m:acc>
      </m:oMath>
      <w:r>
        <w:rPr>
          <w:rFonts w:ascii="Noto Serif" w:hAnsi="Noto Serif" w:cs="Noto Serif" w:eastAsia="Noto Serif"/>
          <w:sz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</m:acc>
      </m:oMath>
      <w:r>
        <w:rPr>
          <w:rFonts w:ascii="Noto Serif" w:hAnsi="Noto Serif" w:cs="Noto Serif" w:eastAsia="Noto Serif"/>
          <w:sz w:val="28"/>
        </w:rPr>
        <w:t xml:space="preserve"> в произведение любого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</m:acc>
      </m:oMath>
      <w:r>
        <w:rPr>
          <w:rFonts w:ascii="Noto Serif" w:hAnsi="Noto Serif" w:cs="Noto Serif" w:eastAsia="Noto Serif"/>
          <w:sz w:val="28"/>
        </w:rPr>
        <w:t xml:space="preserve"> элемента на любое число </w:t>
      </w:r>
      <m:oMath>
        <m:r>
          <w:rPr>
            <w:rFonts w:ascii="Cambria Math" w:hAnsi="Cambria Math" w:cs="Cambria Math" w:eastAsia="Cambria Math" w:hint="default"/>
          </w:rPr>
          <m:rPr/>
          <m:t>α </m:t>
        </m:r>
        <m:r>
          <w:rPr>
            <w:rFonts w:ascii="Cambria Math" w:hAnsi="Cambria Math" w:cs="Cambria Math" w:eastAsia="Cambria Math" w:hint="default"/>
          </w:rPr>
          <m:rPr/>
          <m:t>∈ R</m:t>
        </m:r>
      </m:oMath>
      <w:r>
        <w:rPr>
          <w:rFonts w:ascii="Noto Serif" w:hAnsi="Noto Serif" w:cs="Noto Serif" w:eastAsia="Noto Serif"/>
          <w:sz w:val="28"/>
        </w:rPr>
        <w:t xml:space="preserve">?</w:t>
      </w:r>
      <w:r>
        <w:rPr>
          <w:rFonts w:ascii="Noto Serif" w:hAnsi="Noto Serif" w:cs="Noto Serif" w:eastAsia="Noto Serif"/>
          <w:sz w:val="28"/>
        </w:rPr>
      </w:r>
      <w:r/>
    </w:p>
    <w:p>
      <w:pPr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Вариант 14: множество всех диагональных матриц </w:t>
      </w:r>
      <w:r>
        <w:rPr>
          <w:rFonts w:ascii="Noto Serif" w:hAnsi="Noto Serif" w:cs="Noto Serif" w:eastAsia="Noto Serif"/>
          <w:sz w:val="28"/>
          <w:highlight w:val="none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 w:hint="default"/>
          </w:rPr>
          <m:rPr/>
          <m:t>=</m:t>
        </m:r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), 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</m:acc>
        <m:r>
          <w:rPr>
            <w:rFonts w:ascii="Cambria Math" w:hAnsi="Cambria Math" w:cs="Cambria Math" w:eastAsia="Cambria Math" w:hint="default"/>
          </w:rPr>
          <m:rPr/>
          <m:t>=(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 размеров </w:t>
      </w:r>
      <m:oMath>
        <m:r>
          <w:rPr>
            <w:rFonts w:ascii="Cambria Math" w:hAnsi="Cambria Math" w:cs="Cambria Math" w:eastAsia="Cambria Math"/>
          </w:rPr>
          <m:rPr/>
          <m:t>n</m:t>
        </m:r>
        <m:r>
          <w:rPr>
            <w:rFonts w:ascii="Cambria Math" w:hAnsi="Cambria Math" w:cs="Cambria Math" w:eastAsia="Cambria Math" w:hint="default"/>
          </w:rPr>
          <m:rPr/>
          <m:t>×n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. Сумма </w:t>
      </w:r>
      <m:oMath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)∙</m:t>
        </m:r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произведение </w:t>
      </w:r>
      <m:oMath>
        <m:r>
          <w:rPr>
            <w:rFonts w:ascii="Cambria Math" w:hAnsi="Cambria Math" w:cs="Cambria Math" w:eastAsia="Cambria Math" w:hint="default"/>
          </w:rPr>
          <m:rPr/>
          <m:t>α</m:t>
        </m:r>
        <m:r>
          <w:rPr>
            <w:rFonts w:ascii="Cambria Math" w:hAnsi="Cambria Math" w:cs="Cambria Math" w:eastAsia="Cambria Math" w:hint="default"/>
          </w:rPr>
          <m:rPr/>
          <m:t>∙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</m:oMath>
      <w:r>
        <w:rPr>
          <w:rFonts w:ascii="Noto Serif" w:hAnsi="Noto Serif" w:cs="Noto Serif" w:eastAsia="Noto Serif"/>
          <w:sz w:val="28"/>
          <w:highlight w:val="none"/>
        </w:rPr>
        <w:t xml:space="preserve">.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jc w:val="both"/>
        <w:rPr>
          <w:rFonts w:ascii="Noto Serif" w:hAnsi="Noto Serif" w:cs="Noto Serif" w:eastAsia="Noto Serif"/>
          <w:b/>
          <w:sz w:val="28"/>
          <w:highlight w:val="none"/>
          <w:u w:val="single"/>
        </w:rPr>
      </w:pPr>
      <w:r>
        <w:rPr>
          <w:rFonts w:ascii="Noto Serif" w:hAnsi="Noto Serif" w:cs="Noto Serif" w:eastAsia="Noto Serif"/>
          <w:b/>
          <w:sz w:val="28"/>
          <w:highlight w:val="none"/>
          <w:u w:val="single"/>
        </w:rPr>
        <w:t xml:space="preserve">Решение:</w:t>
      </w:r>
      <w:r>
        <w:rPr>
          <w:rFonts w:ascii="Noto Serif" w:hAnsi="Noto Serif" w:cs="Noto Serif" w:eastAsia="Noto Serif"/>
          <w:b/>
          <w:sz w:val="28"/>
          <w:highlight w:val="none"/>
          <w:u w:val="single"/>
        </w:rPr>
      </w:r>
      <w:r/>
    </w:p>
    <w:p>
      <w:pPr>
        <w:pStyle w:val="816"/>
        <w:numPr>
          <w:ilvl w:val="0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Линейное пространство должно удовлетворять следующим требованиям:</w:t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V — непустое множество векторов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F — множество скаляров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Определена операция сложения векторов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Определена операция умножения вектора на число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Заданные операции должны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 удовлетворять аксиомам векторного пространства (коммутативность и ассоциативность сложения, существование нейтрального элемента, ассоциативность умножения вектора на скаляр, унитарность, дистрибутивность умножения относительно сложения скляров и векторов)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p>
      <w:pPr>
        <w:pStyle w:val="816"/>
        <w:numPr>
          <w:ilvl w:val="0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Проверка на линейное пространство: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Множество диагональных матриц не пусто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Множество скаляров не пусто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Операция сложения векторов задана: </w:t>
      </w:r>
      <m:oMath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)∙</m:t>
        </m:r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</m:t>
        </m:r>
      </m:oMath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Определена операция умножения вектора на скаляр из R: </w:t>
      </w:r>
      <m:oMath>
        <m:r>
          <w:rPr>
            <w:rFonts w:ascii="Cambria Math" w:hAnsi="Cambria Math" w:cs="Cambria Math" w:eastAsia="Cambria Math" w:hint="default"/>
          </w:rPr>
          <m:rPr/>
          <m:t>α</m:t>
        </m:r>
        <m:r>
          <w:rPr>
            <w:rFonts w:ascii="Cambria Math" w:hAnsi="Cambria Math" w:cs="Cambria Math" w:eastAsia="Cambria Math" w:hint="default"/>
          </w:rPr>
          <m:rPr/>
          <m:t>∙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</m:oMath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1134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qFormat/>
    <w:uiPriority w:val="1"/>
    <w:pPr>
      <w:spacing w:lineRule="auto" w:line="240" w:after="0"/>
    </w:pPr>
  </w:style>
  <w:style w:type="paragraph" w:styleId="816">
    <w:name w:val="List Paragraph"/>
    <w:basedOn w:val="812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>
    <w:name w:val="Body Text"/>
    <w:basedOn w:val="709"/>
    <w:link w:val="730"/>
    <w:qFormat/>
    <w:uiPriority w:val="1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ru-RU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819" w:customStyle="1">
    <w:name w:val="Table Paragraph"/>
    <w:basedOn w:val="709"/>
    <w:qFormat/>
    <w:uiPriority w:val="1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ru-RU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table" w:styleId="820" w:customStyle="1">
    <w:name w:val="Table Normal"/>
    <w:qFormat/>
    <w:uiPriority w:val="2"/>
    <w:semiHidden/>
    <w:unhideWhenUsed/>
    <w:rPr>
      <w:rFonts w:asciiTheme="minorHAnsi" w:hAnsiTheme="minorHAnsi" w:eastAsiaTheme="minorHAnsi" w:cstheme="minorBidi" w:hint="default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  <w:tblPr>
      <w:tblStyleRowBandSize w:val="1"/>
      <w:tblStyleColBandSize w:val="1"/>
      <w:tblW w:w="0" w:type="auto"/>
      <w:tblInd w:w="0" w:type="dxa"/>
      <w:tblBorders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insideV w:val="none" w:color="000000" w:sz="4" w:space="0"/>
        <w:insideH w:val="none" w:color="000000" w:sz="4" w:space="0"/>
      </w:tblBorders>
      <w:tblLayout w:type="autofit"/>
      <w:tblCellMar>
        <w:left w:w="0" w:type="dxa"/>
        <w:top w:w="0" w:type="dxa"/>
        <w:right w:w="0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2022-01-02T07:52:01Z</dcterms:modified>
</cp:coreProperties>
</file>