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uto" w:line="276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u w:val="singl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u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276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Образует ли линейное пространство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Множество всех диагональных матриц </w:t>
      </w:r>
      <w:r>
        <w:rPr>
          <w:rFonts w:ascii="Times New Roman" w:hAnsi="Times New Roman" w:cs="Times New Roman" w:eastAsia="Times New Roman"/>
          <w:sz w:val="28"/>
          <w:highlight w:val="none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/>
          <m:t>=</m:t>
        </m:r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), 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/>
          <m:t>=(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</m:t>
        </m:r>
      </m:oMath>
      <w:r>
        <w:rPr>
          <w:rFonts w:ascii="Times New Roman" w:hAnsi="Times New Roman" w:cs="Times New Roman" w:eastAsia="Times New Roman"/>
          <w:sz w:val="28"/>
          <w:highlight w:val="none"/>
        </w:rPr>
        <w:t xml:space="preserve"> размеров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n</m:t>
        </m:r>
        <m:r>
          <w:rPr>
            <w:rFonts w:ascii="Cambria Math" w:hAnsi="Cambria Math" w:cs="Cambria Math" w:eastAsia="Cambria Math" w:hint="default"/>
            <w:sz w:val="28"/>
          </w:rPr>
          <m:rPr/>
          <m:t>×n</m:t>
        </m:r>
      </m:oMath>
      <w:r>
        <w:rPr>
          <w:rFonts w:ascii="Times New Roman" w:hAnsi="Times New Roman" w:cs="Times New Roman" w:eastAsia="Times New Roman"/>
          <w:sz w:val="28"/>
        </w:rPr>
        <w:t xml:space="preserve">, в котором определены суммы любых двух элементов </w:t>
      </w:r>
      <w:r>
        <w:rPr>
          <w:rFonts w:ascii="Times New Roman" w:hAnsi="Times New Roman" w:cs="Times New Roman" w:eastAsia="Times New Roman"/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)∙</m:t>
        </m:r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</m:t>
        </m:r>
      </m:oMath>
      <w:r>
        <w:rPr>
          <w:rFonts w:ascii="Times New Roman" w:hAnsi="Times New Roman" w:cs="Times New Roman" w:eastAsia="Times New Roman"/>
          <w:sz w:val="28"/>
        </w:rPr>
        <w:t xml:space="preserve"> и произведение любого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 элемента на любое число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α </m:t>
        </m:r>
        <m:r>
          <w:rPr>
            <w:rFonts w:ascii="Cambria Math" w:hAnsi="Cambria Math" w:cs="Cambria Math" w:eastAsia="Cambria Math" w:hint="default"/>
            <w:sz w:val="28"/>
          </w:rPr>
          <m:rPr/>
          <m:t>∈ R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: </w:t>
      </w:r>
      <w:r>
        <w:rPr>
          <w:rFonts w:ascii="Times New Roman" w:hAnsi="Times New Roman" w:cs="Times New Roman" w:eastAsia="Times New Roman"/>
          <w:sz w:val="28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α</m:t>
        </m:r>
        <m:r>
          <w:rPr>
            <w:rFonts w:ascii="Cambria Math" w:hAnsi="Cambria Math" w:cs="Cambria Math" w:eastAsia="Cambria Math" w:hint="default"/>
            <w:sz w:val="28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?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both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Решение. 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/>
          <w:sz w:val="28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Пусть V — множество всех существующих диагональных матриц. 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709"/>
        <w:jc w:val="both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Операция сложения не соответствует требованию о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переместительном свойстве суммы: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709"/>
        <w:jc w:val="both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709"/>
        <w:jc w:val="center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+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≠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+</m:t>
        </m:r>
        <m:sSub>
          <m:sSubPr>
            <m:ctrlPr>
              <w:rPr>
                <w:rFonts w:ascii="Cambria Math" w:hAnsi="Cambria Math" w:cs="Cambria Math" w:eastAsia="Cambria Math" w:hint="default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,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709"/>
        <w:jc w:val="center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0"/>
        <w:jc w:val="left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то есть операция сложения не выполняет одну из восьми аксиом на множестве V, следовательно, множество V не является линейным пространством.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</w:p>
    <w:p>
      <w:pPr>
        <w:ind w:left="0" w:right="0" w:firstLine="709"/>
        <w:jc w:val="both"/>
        <w:spacing w:lineRule="auto" w:line="276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Ответ.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Множество всех диагональных матриц </w:t>
      </w:r>
      <w:r>
        <w:rPr>
          <w:rFonts w:ascii="Times New Roman" w:hAnsi="Times New Roman" w:cs="Times New Roman" w:eastAsia="Times New Roman"/>
          <w:sz w:val="28"/>
          <w:highlight w:val="none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/>
          <m:t>=</m:t>
        </m:r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), </m:t>
        </m:r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 w:hint="default"/>
            <w:sz w:val="28"/>
          </w:rPr>
          <m:rPr/>
          <m:t>=(</m:t>
        </m:r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</m:t>
        </m:r>
      </m:oMath>
      <w:r>
        <w:rPr>
          <w:rFonts w:ascii="Times New Roman" w:hAnsi="Times New Roman" w:cs="Times New Roman" w:eastAsia="Times New Roman"/>
          <w:sz w:val="28"/>
          <w:highlight w:val="none"/>
        </w:rPr>
        <w:t xml:space="preserve"> размеров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n</m:t>
        </m:r>
        <m:r>
          <w:rPr>
            <w:rFonts w:ascii="Cambria Math" w:hAnsi="Cambria Math" w:cs="Cambria Math" w:eastAsia="Cambria Math" w:hint="default"/>
            <w:sz w:val="28"/>
          </w:rPr>
          <m:rPr/>
          <m:t>×n</m:t>
        </m:r>
      </m:oMath>
      <w:r>
        <w:rPr>
          <w:rFonts w:ascii="Times New Roman" w:hAnsi="Times New Roman" w:cs="Times New Roman" w:eastAsia="Times New Roman"/>
          <w:sz w:val="28"/>
        </w:rPr>
        <w:t xml:space="preserve">, в котором определены суммы любых двух элементов </w:t>
      </w:r>
      <w:r>
        <w:rPr>
          <w:rFonts w:ascii="Times New Roman" w:hAnsi="Times New Roman" w:cs="Times New Roman" w:eastAsia="Times New Roman"/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)∙</m:t>
        </m:r>
        <m:r>
          <w:rPr>
            <w:rFonts w:ascii="Cambria Math" w:hAnsi="Cambria Math" w:cs="Cambria Math" w:eastAsia="Cambria Math" w:hint="default"/>
            <w:sz w:val="28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  <w:sz w:val="28"/>
          </w:rPr>
          <m:rPr/>
          <m:t>)</m:t>
        </m:r>
      </m:oMath>
      <w:r>
        <w:rPr>
          <w:rFonts w:ascii="Times New Roman" w:hAnsi="Times New Roman" w:cs="Times New Roman" w:eastAsia="Times New Roman"/>
          <w:sz w:val="28"/>
        </w:rPr>
        <w:t xml:space="preserve"> и произведение любого </w:t>
      </w:r>
      <m:oMath>
        <m:acc>
          <m:accPr>
            <m:chr m:val="⃗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</m:acc>
      </m:oMath>
      <w:r>
        <w:rPr>
          <w:rFonts w:ascii="Times New Roman" w:hAnsi="Times New Roman" w:cs="Times New Roman" w:eastAsia="Times New Roman"/>
          <w:sz w:val="28"/>
        </w:rPr>
        <w:t xml:space="preserve"> элемента на любое число </w:t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α </m:t>
        </m:r>
        <m:r>
          <w:rPr>
            <w:rFonts w:ascii="Cambria Math" w:hAnsi="Cambria Math" w:cs="Cambria Math" w:eastAsia="Cambria Math" w:hint="default"/>
            <w:sz w:val="28"/>
          </w:rPr>
          <m:rPr/>
          <m:t>∈ R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: </w:t>
      </w:r>
      <w:r>
        <w:rPr>
          <w:rFonts w:ascii="Times New Roman" w:hAnsi="Times New Roman" w:cs="Times New Roman" w:eastAsia="Times New Roman"/>
          <w:sz w:val="28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α</m:t>
        </m:r>
        <m:r>
          <w:rPr>
            <w:rFonts w:ascii="Cambria Math" w:hAnsi="Cambria Math" w:cs="Cambria Math" w:eastAsia="Cambria Math" w:hint="default"/>
            <w:sz w:val="28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ij</m:t>
            </m:r>
          </m:sub>
        </m:sSub>
      </m:oMath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  <w:t xml:space="preserve"> не является линейным пространством.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1134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qFormat/>
    <w:uiPriority w:val="11"/>
    <w:rPr>
      <w:sz w:val="24"/>
      <w:szCs w:val="24"/>
    </w:rPr>
    <w:pPr>
      <w:spacing w:after="200" w:before="200"/>
    </w:p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qFormat/>
    <w:uiPriority w:val="29"/>
    <w:rPr>
      <w:i/>
    </w:rPr>
    <w:pPr>
      <w:ind w:left="720" w:right="720"/>
    </w:p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>
    <w:name w:val="Grid Table 4 - Accent 1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6">
    <w:name w:val="Grid Table 4 - Accent 2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7">
    <w:name w:val="Grid Table 4 - Accent 3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8">
    <w:name w:val="Grid Table 4 - Accent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9">
    <w:name w:val="Grid Table 4 - Accent 5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0">
    <w:name w:val="Grid Table 4 - Accent 6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1">
    <w:name w:val="Grid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8">
    <w:name w:val="Grid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0">
    <w:name w:val="List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1">
    <w:name w:val="List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2">
    <w:name w:val="List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3">
    <w:name w:val="List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4">
    <w:name w:val="List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5">
    <w:name w:val="List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6">
    <w:name w:val="List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8">
    <w:name w:val="List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9">
    <w:name w:val="List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0">
    <w:name w:val="List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1">
    <w:name w:val="List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2">
    <w:name w:val="List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3">
    <w:name w:val="List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4">
    <w:name w:val="List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 &amp; 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Bordered &amp; 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Bordered &amp; 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Bordered &amp; 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Bordered &amp; 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Bordered &amp; 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Bordered &amp; 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6">
    <w:name w:val="Bordered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7">
    <w:name w:val="Bordered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8">
    <w:name w:val="Bordered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9">
    <w:name w:val="Bordered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0">
    <w:name w:val="Bordered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1">
    <w:name w:val="Bordered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rPr>
      <w:sz w:val="18"/>
    </w:rPr>
    <w:pPr>
      <w:spacing w:lineRule="auto" w:line="240" w:after="40"/>
    </w:p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rPr>
      <w:sz w:val="20"/>
    </w:rPr>
    <w:pPr>
      <w:spacing w:lineRule="auto" w:line="240" w:after="0"/>
    </w:p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qFormat/>
    <w:uiPriority w:val="1"/>
    <w:pPr>
      <w:spacing w:lineRule="auto" w:line="240" w:after="0"/>
    </w:pPr>
  </w:style>
  <w:style w:type="paragraph" w:styleId="824">
    <w:name w:val="List Paragraph"/>
    <w:basedOn w:val="820"/>
    <w:qFormat/>
    <w:uiPriority w:val="34"/>
    <w:pPr>
      <w:contextualSpacing w:val="true"/>
      <w:ind w:left="720"/>
    </w:pPr>
  </w:style>
  <w:style w:type="character" w:styleId="825" w:default="1">
    <w:name w:val="Default Paragraph Font"/>
    <w:uiPriority w:val="1"/>
    <w:semiHidden/>
    <w:unhideWhenUsed/>
  </w:style>
  <w:style w:type="paragraph" w:styleId="826">
    <w:name w:val="Body Text"/>
    <w:basedOn w:val="717"/>
    <w:link w:val="738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ru-RU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827" w:customStyle="1">
    <w:name w:val="Table Paragraph"/>
    <w:basedOn w:val="717"/>
    <w:qFormat/>
    <w:uiPriority w:val="1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ru-RU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table" w:styleId="828" w:customStyle="1">
    <w:name w:val="Table Normal"/>
    <w:qFormat/>
    <w:uiPriority w:val="2"/>
    <w:semiHidden/>
    <w:unhideWhenUsed/>
    <w:rPr>
      <w:rFonts w:asciiTheme="minorHAnsi" w:hAnsiTheme="minorHAnsi" w:eastAsiaTheme="minorHAnsi" w:cstheme="minorBidi" w:hint="default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en-US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0" w:type="dxa"/>
        <w:top w:w="0" w:type="dxa"/>
        <w:right w:w="0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2022-01-09T14:58:54Z</dcterms:modified>
</cp:coreProperties>
</file>