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№4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  <w:t xml:space="preserve">Программирование циклических алгоритмов с предусловием</w:t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Табулировать следующие функции.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/>
      <m:oMathPara>
        <m:oMathParaPr>
          <m:jc m:val="left"/>
        </m:oMathParaPr>
        <m:oMath>
          <m:r>
            <w:rPr>
              <w:rFonts w:ascii="Cambria Math" w:hAnsi="Cambria Math" w:cs="Cambria Math" w:eastAsia="Cambria Math" w:hint="default"/>
            </w:rPr>
            <m:rPr/>
            <m:t>y = </m:t>
          </m:r>
          <m:d>
            <m:dPr>
              <m:begChr m:val="{"/>
              <m:endChr m:val=""/>
              <m:ctrlPr>
                <w:rPr>
                  <w:rFonts w:ascii="Cambria Math" w:hAnsi="Cambria Math" w:cs="Cambria Math" w:eastAsia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  <w:caps w:val="false"/>
                          <w:smallCaps w:val="false"/>
                          <w:strike w:val="false"/>
                          <w:color w:val="auto"/>
                          <w:spacing w:val="0"/>
                          <w:position w:val="0"/>
                          <w:sz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m:rPr>
                          <m:sty m:val="p"/>
                        </m:rPr>
                        <m:t>tan</m:t>
                      </m:r>
                    </m:fName>
                    <m:e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(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> + 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 w:eastAsia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>
                              <m:sty m:val="p"/>
                            </m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/>
                            <m:t>π</m:t>
                          </m:r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>
                              <m:sty m:val="i"/>
                            </m:rPr>
                            <m:t>x)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 w:cs="Cambria Math" w:eastAsia="Cambria Math" w:hint="default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2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, при 0 </m:t>
                  </m:r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≤ x </m:t>
                  </m:r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≤ 1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a</m:t>
                  </m:r>
                  <m:func>
                    <m:funcPr>
                      <m:ctrlPr>
                        <w:rPr>
                          <w:rFonts w:ascii="Cambria Math" w:hAnsi="Cambria Math" w:cs="Cambria Math" w:eastAsia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i"/>
                        </m:rPr>
                        <m:t>(p - 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 w:eastAsia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>
                              <m:sty m:val="p"/>
                            </m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/>
                            <m:t>π</m:t>
                          </m:r>
                          <m:r>
                            <w:rPr>
                              <w:rFonts w:ascii="Cambria Math" w:hAnsi="Cambria Math" w:cs="Cambria Math" w:eastAsia="Cambria Math" w:hint="default"/>
                            </w:rPr>
                            <m:rPr>
                              <m:sty m:val="i"/>
                            </m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="Cambria Math" w:eastAsia="Cambria Math" w:hint="default"/>
                        </w:rPr>
                        <m:rPr>
                          <m:sty m:val="i"/>
                        </m:rPr>
                        <m:t>)</m:t>
                      </m:r>
                    </m:e>
                  </m:func>
                  <m:r>
                    <w:rPr>
                      <w:rFonts w:ascii="Cambria Math" w:hAnsi="Cambria Math" w:cs="Cambria Math" w:eastAsia="Cambria Math" w:hint="default"/>
                    </w:rPr>
                    <m:rPr>
                      <m:sty m:val="i"/>
                    </m:rPr>
                    <m:t>, при 1 </m:t>
                  </m:r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&lt; x </m:t>
                  </m:r>
                  <m:r>
                    <w:rPr>
                      <w:rFonts w:ascii="Cambria Math" w:hAnsi="Cambria Math" w:cs="Cambria Math" w:eastAsia="Cambria Math" w:hint="default"/>
                    </w:rPr>
                    <m:rPr/>
                    <m:t>≤ 2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Cambria Math" w:eastAsia="Cambria Math" w:hint="default"/>
                          <w:caps w:val="false"/>
                          <w:smallCaps w:val="false"/>
                          <w:strike w:val="false"/>
                          <w:color w:val="auto"/>
                          <w:spacing w:val="0"/>
                          <w:position w:val="0"/>
                          <w:sz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m:rPr>
                          <m:sty m:val="p"/>
                        </m:rPr>
                        <m:t>lg</m:t>
                      </m:r>
                    </m:fName>
                    <m:e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</m:func>
                  <m:r>
                    <w:rPr>
                      <w:rFonts w:ascii="Cambria Math" w:hAnsi="Cambria Math" w:cs="Cambria Math" w:eastAsia="Cambria Math" w:hint="default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2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, при 2 &lt; x &lt; 3</m:t>
                  </m:r>
                </m:e>
              </m:eqArr>
            </m:e>
          </m:d>
        </m:oMath>
      </m:oMathPara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/>
      <m:oMathPara>
        <m:oMathParaPr>
          <m:jc m:val="left"/>
        </m:oMathParaPr>
        <m:oMath>
          <m:sSub>
            <m:sSubPr>
              <m:ctrlPr/>
            </m:sSubPr>
            <m:e>
              <m:r>
                <m:rPr/>
                <m:t>a</m:t>
              </m:r>
            </m:e>
            <m:sub>
              <m:r>
                <m:rPr/>
                <m:t>1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 = 0.5, </m:t>
          </m:r>
          <m:sSub>
            <m:sSubPr>
              <m:ctrlPr/>
            </m:sSubPr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 = 0.75, </m:t>
          </m:r>
          <m:sSub>
            <m:sSubPr>
              <m:ctrlPr/>
            </m:sSubPr>
            <m:e>
              <m:r>
                <m:rPr/>
                <m:t>a</m:t>
              </m:r>
            </m:e>
            <m:sub>
              <m:r>
                <m:rPr/>
                <m:t>3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= 1; dx = </m:t>
          </m:r>
          <m:f>
            <m:fPr>
              <m:ctrlPr/>
            </m:fPr>
            <m:num>
              <m:r>
                <m:rPr/>
                <m:t>a</m:t>
              </m:r>
            </m:num>
            <m:den>
              <m:r>
                <w:rPr>
                  <w:rFonts w:ascii="Cambria Math" w:hAnsi="Cambria Math" w:cs="Cambria Math" w:eastAsia="Cambria Math"/>
                </w:rPr>
                <m:rPr/>
                <m:t>4</m:t>
              </m:r>
            </m:den>
          </m:f>
        </m:oMath>
      </m:oMathPara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Схема работы алгоритма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 (см. ниже)</w:t>
      </w:r>
      <w:r/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: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31566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60290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9315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733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7114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51414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871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83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sz w:val="24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3557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7849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43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91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  <w:highlight w:val="none"/>
        </w:rPr>
      </w:r>
      <w:r/>
    </w:p>
    <w:p>
      <w:pPr>
        <w:shd w:val="nil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w:br w:type="page"/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3818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59425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538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99.9pt;" stroked="false">
                <v:path textboxrect="0,0,0,0"/>
                <v:imagedata r:id="rId12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Модифицировать (изменить) программу 3_2 для вычисления функций f_1(x) и f_2(x) с применением вместо счетного цикла оператора цикла с предусловием. Выполнить ее и сравнить результаты с полученными в предыдущей работе.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Схема работы алгоритма (см. ниже):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37059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4970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8370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659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shd w:val="nil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br w:type="page"/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1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7437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45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350.8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hd w:val="nil" w:color="auto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2224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9566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132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46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2021-11-03T09:32:52Z</dcterms:modified>
</cp:coreProperties>
</file>