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620000" cy="1620000"/>
            <wp:docPr id="1" name="Picture 1"/>
            <wp:cNvGraphicFramePr>
              <a:graphicFrameLocks noChangeAspect="1"/>
            </wp:cNvGraphicFramePr>
            <a:graphic>
              <a:graphicData uri="http://schemas.openxmlformats.org/drawingml/2006/picture">
                <pic:pic>
                  <pic:nvPicPr>
                    <pic:cNvPr id="0" name="cover-icon.png"/>
                    <pic:cNvPicPr/>
                  </pic:nvPicPr>
                  <pic:blipFill>
                    <a:blip r:embed="rId9"/>
                    <a:stretch>
                      <a:fillRect/>
                    </a:stretch>
                  </pic:blipFill>
                  <pic:spPr>
                    <a:xfrm>
                      <a:off x="0" y="0"/>
                      <a:ext cx="1620000" cy="1620000"/>
                    </a:xfrm>
                    <a:prstGeom prst="rect"/>
                  </pic:spPr>
                </pic:pic>
              </a:graphicData>
            </a:graphic>
          </wp:inline>
        </w:drawing>
      </w:r>
    </w:p>
    <w:p>
      <w:pPr>
        <w:jc w:val="center"/>
      </w:pPr>
      <w:r>
        <w:rPr>
          <w:rFonts w:ascii="Calibri" w:hAnsi="Calibri" w:cs="Calibri"/>
          <w:b/>
          <w:i w:val="0"/>
          <w:color w:val="C0392B"/>
          <w:sz w:val="76"/>
        </w:rPr>
        <w:t>horus</w:t>
      </w:r>
      <w:r>
        <w:rPr>
          <w:rFonts w:ascii="Calibri" w:hAnsi="Calibri" w:cs="Calibri"/>
          <w:b w:val="0"/>
          <w:i w:val="0"/>
          <w:color w:val="9CA3AF"/>
          <w:sz w:val="76"/>
        </w:rPr>
        <w:t>eye</w:t>
      </w:r>
    </w:p>
    <w:p>
      <w:pPr>
        <w:jc w:val="center"/>
      </w:pPr>
      <w:r>
        <w:rPr>
          <w:rFonts w:ascii="Calibri" w:hAnsi="Calibri" w:cs="Calibri"/>
          <w:b w:val="0"/>
          <w:i/>
          <w:color w:val="475569"/>
          <w:sz w:val="24"/>
        </w:rPr>
        <w:t>AI-Based Exam Proctoring &amp; Monitoring System</w:t>
      </w:r>
    </w:p>
    <w:p>
      <w:pPr>
        <w:pBdr>
          <w:bottom w:val="single" w:sz="8" w:color="E2E8F0"/>
        </w:pBdr>
      </w:pPr>
    </w:p>
    <w:p/>
    <w:p>
      <w:pPr>
        <w:jc w:val="center"/>
      </w:pPr>
      <w:r>
        <w:rPr>
          <w:rFonts w:ascii="Calibri" w:hAnsi="Calibri" w:cs="Calibri"/>
          <w:b/>
          <w:i w:val="0"/>
          <w:color w:val="8C2A1F"/>
          <w:sz w:val="48"/>
        </w:rPr>
        <w:t>Final Report</w:t>
      </w:r>
    </w:p>
    <w:p>
      <w:pPr>
        <w:spacing w:after="600"/>
        <w:jc w:val="center"/>
      </w:pPr>
      <w:r>
        <w:rPr>
          <w:rFonts w:ascii="Calibri" w:hAnsi="Calibri" w:cs="Calibri"/>
          <w:b w:val="0"/>
          <w:i w:val="0"/>
          <w:color w:val="0F172A"/>
          <w:sz w:val="24"/>
        </w:rPr>
        <w:t>CMPE 492 — Senior Design Project II</w:t>
        <w:br/>
        <w:t>TED University — Department of Computer Engineering</w:t>
        <w:br/>
        <w:t>Spring 2026 — Submitted May 15, 2026</w:t>
      </w:r>
    </w:p>
    <w:p>
      <w:pPr>
        <w:jc w:val="center"/>
      </w:pPr>
      <w:r>
        <w:rPr>
          <w:rFonts w:ascii="Calibri" w:hAnsi="Calibri" w:cs="Calibri"/>
          <w:b/>
          <w:i w:val="0"/>
          <w:color w:val="8C2A1F"/>
          <w:sz w:val="24"/>
        </w:rPr>
        <w:t>Team Members</w:t>
      </w:r>
    </w:p>
    <w:p>
      <w:pPr>
        <w:spacing w:after="40"/>
        <w:jc w:val="center"/>
      </w:pPr>
      <w:r>
        <w:rPr>
          <w:rFonts w:ascii="Calibri" w:hAnsi="Calibri" w:cs="Calibri"/>
          <w:b w:val="0"/>
          <w:i w:val="0"/>
          <w:color w:val="0F172A"/>
          <w:sz w:val="22"/>
        </w:rPr>
        <w:t>Çağla Abazaoğlu — 10051217210</w:t>
      </w:r>
    </w:p>
    <w:p>
      <w:pPr>
        <w:spacing w:after="40"/>
        <w:jc w:val="center"/>
      </w:pPr>
      <w:r>
        <w:rPr>
          <w:rFonts w:ascii="Calibri" w:hAnsi="Calibri" w:cs="Calibri"/>
          <w:b w:val="0"/>
          <w:i w:val="0"/>
          <w:color w:val="0F172A"/>
          <w:sz w:val="22"/>
        </w:rPr>
        <w:t>Gizem Nur İpek — 46162949900</w:t>
      </w:r>
    </w:p>
    <w:p>
      <w:pPr>
        <w:spacing w:after="40"/>
        <w:jc w:val="center"/>
      </w:pPr>
      <w:r>
        <w:rPr>
          <w:rFonts w:ascii="Calibri" w:hAnsi="Calibri" w:cs="Calibri"/>
          <w:b w:val="0"/>
          <w:i w:val="0"/>
          <w:color w:val="0F172A"/>
          <w:sz w:val="22"/>
        </w:rPr>
        <w:t>Taha Kürşat Öztürk — 15709032030</w:t>
      </w:r>
    </w:p>
    <w:p>
      <w:pPr>
        <w:spacing w:after="40"/>
        <w:jc w:val="center"/>
      </w:pPr>
      <w:r>
        <w:rPr>
          <w:rFonts w:ascii="Calibri" w:hAnsi="Calibri" w:cs="Calibri"/>
          <w:b w:val="0"/>
          <w:i w:val="0"/>
          <w:color w:val="0F172A"/>
          <w:sz w:val="22"/>
        </w:rPr>
        <w:t>Ali Sahil — 14596166750</w:t>
      </w:r>
    </w:p>
    <w:p>
      <w:pPr>
        <w:spacing w:after="40"/>
        <w:jc w:val="center"/>
      </w:pPr>
      <w:r>
        <w:rPr>
          <w:rFonts w:ascii="Calibri" w:hAnsi="Calibri" w:cs="Calibri"/>
          <w:b w:val="0"/>
          <w:i w:val="0"/>
          <w:color w:val="0F172A"/>
          <w:sz w:val="22"/>
        </w:rPr>
        <w:t>Tuğba Hilal Kırer — 10015328662</w:t>
      </w:r>
    </w:p>
    <w:p/>
    <w:p>
      <w:pPr>
        <w:jc w:val="center"/>
      </w:pPr>
      <w:r>
        <w:rPr>
          <w:rFonts w:ascii="Calibri" w:hAnsi="Calibri" w:cs="Calibri"/>
          <w:b w:val="0"/>
          <w:i/>
          <w:color w:val="475569"/>
          <w:sz w:val="24"/>
        </w:rPr>
        <w:t>Project Supervisor: Fırat Akba</w:t>
      </w:r>
    </w:p>
    <w:p/>
    <w:p>
      <w:pPr>
        <w:jc w:val="center"/>
      </w:pPr>
      <w:r>
        <w:rPr>
          <w:rFonts w:ascii="Calibri" w:hAnsi="Calibri" w:cs="Calibri"/>
          <w:b w:val="0"/>
          <w:i/>
          <w:color w:val="475569"/>
          <w:sz w:val="22"/>
        </w:rPr>
        <w:t>Course Coordinator: Gökçe Nur Yılmaz</w:t>
      </w:r>
    </w:p>
    <w:p>
      <w:r>
        <w:br w:type="page"/>
      </w:r>
    </w:p>
    <w:p>
      <w:pPr>
        <w:pStyle w:val="Heading1"/>
      </w:pPr>
      <w:r>
        <w:rPr>
          <w:rFonts w:ascii="Calibri" w:hAnsi="Calibri" w:cs="Calibri"/>
          <w:b/>
          <w:i w:val="0"/>
          <w:color w:val="8C2A1F"/>
          <w:sz w:val="36"/>
        </w:rPr>
        <w:t>Abstract</w:t>
      </w:r>
    </w:p>
    <w:p>
      <w:pPr>
        <w:spacing w:after="120" w:line="300" w:lineRule="auto"/>
      </w:pPr>
      <w:r>
        <w:rPr>
          <w:rFonts w:ascii="Calibri" w:hAnsi="Calibri" w:cs="Calibri"/>
          <w:b w:val="0"/>
          <w:i w:val="0"/>
          <w:color w:val="0F172A"/>
          <w:sz w:val="22"/>
        </w:rPr>
        <w:t>HorusEye is an AI-assisted in-person exam proctoring platform designed to reduce the cognitive load on human proctors while preserving them as the final decision-makers. The system combines a Next.js 16 portal, a Python (FastAPI) AI service, and a Supabase Postgres backend deployed on AWS ECS Fargate behind dual application load balancers. Cameras stream into the AI service, where YOLOv8n object detection, BoT-SORT multi-object tracking, MediaPipe face mesh and body pose, and InsightFace ArcFace embeddings feed a rule engine of sixteen behaviour rules. When confidence and temporal aggregation pass the configured thresholds, the service writes an evidence-backed incident to Supabase and pushes it to the portal over a versioned WebSocket protocol (v1.1). A human proctor reviews every incident and assigns a final clean / suspicious / violation decision. Over eighteen two-week sprints the team delivered twenty-two product requirement documents, ninety-three API route handlers, sixteen rule files, fifty-three database migrations and seventy-seven automated tests. The system is explicitly not an autonomous arbiter: every visible design decision — CPU-only inference, append-only audit logs, evidence retention windows, KVKK-compliant consent — is subordinated to the explainability and accountability the domain demands.</w:t>
      </w:r>
    </w:p>
    <w:p>
      <w:r>
        <w:br w:type="page"/>
      </w:r>
    </w:p>
    <w:p>
      <w:pPr>
        <w:pStyle w:val="Heading1"/>
      </w:pPr>
      <w:r>
        <w:rPr>
          <w:rFonts w:ascii="Calibri" w:hAnsi="Calibri" w:cs="Calibri"/>
          <w:b/>
          <w:i w:val="0"/>
          <w:color w:val="8C2A1F"/>
          <w:sz w:val="36"/>
        </w:rPr>
        <w:t>1. Introduction</w:t>
      </w:r>
    </w:p>
    <w:p>
      <w:pPr>
        <w:pStyle w:val="Heading2"/>
      </w:pPr>
      <w:r>
        <w:rPr>
          <w:rFonts w:ascii="Calibri" w:hAnsi="Calibri" w:cs="Calibri"/>
          <w:b/>
          <w:i w:val="0"/>
          <w:color w:val="8C2A1F"/>
          <w:sz w:val="28"/>
        </w:rPr>
        <w:t>1.1 Problem Statement</w:t>
      </w:r>
    </w:p>
    <w:p>
      <w:pPr>
        <w:spacing w:after="120" w:line="300" w:lineRule="auto"/>
      </w:pPr>
      <w:r>
        <w:rPr>
          <w:rFonts w:ascii="Calibri" w:hAnsi="Calibri" w:cs="Calibri"/>
          <w:b w:val="0"/>
          <w:i w:val="0"/>
          <w:color w:val="0F172A"/>
          <w:sz w:val="22"/>
        </w:rPr>
        <w:t>Conventional in-person examinations rely on human proctors to monitor between thirty and one hundred students simultaneously. Empirical observation during our analysis phase, supported by the literature reviewed in §2, confirms that humans cannot sustain reliable attention across that many subjects, especially for the short, localised behaviours that characterise cheating attempts — a glance at a neighbour's paper, a phone briefly produced under the desk, a whispered exchange. Post-exam video review, where it exists, scales poorly: tagging the suspicious moments inside an hour of footage takes longer than the exam itself, and proctors who suspect an incident often cannot produce the timestamped evidence required by academic-integrity boards.</w:t>
      </w:r>
    </w:p>
    <w:p>
      <w:pPr>
        <w:spacing w:after="120" w:line="300" w:lineRule="auto"/>
      </w:pPr>
      <w:r>
        <w:rPr>
          <w:rFonts w:ascii="Calibri" w:hAnsi="Calibri" w:cs="Calibri"/>
          <w:b w:val="0"/>
          <w:i w:val="0"/>
          <w:color w:val="0F172A"/>
          <w:sz w:val="22"/>
        </w:rPr>
        <w:t>Existing commercial proctoring tools focus almost exclusively on remote exams (single webcam per student) and either ignore physical classrooms or replace human judgement with opaque automated scoring. Neither extreme is acceptable for the academic context our supervisor and stakeholders defined: the decision must remain with the proctor, but the proctor needs an always-watching assistant that surfaces candidate incidents in real time with evidence attached.</w:t>
      </w:r>
    </w:p>
    <w:p>
      <w:pPr>
        <w:pStyle w:val="Heading2"/>
      </w:pPr>
      <w:r>
        <w:rPr>
          <w:rFonts w:ascii="Calibri" w:hAnsi="Calibri" w:cs="Calibri"/>
          <w:b/>
          <w:i w:val="0"/>
          <w:color w:val="8C2A1F"/>
          <w:sz w:val="28"/>
        </w:rPr>
        <w:t>1.2 Stakeholders</w:t>
      </w:r>
    </w:p>
    <w:p>
      <w:pPr>
        <w:pStyle w:val="ListBullet"/>
        <w:spacing w:after="60"/>
      </w:pPr>
      <w:r>
        <w:rPr>
          <w:rFonts w:ascii="Calibri" w:hAnsi="Calibri" w:cs="Calibri"/>
          <w:b w:val="0"/>
          <w:i w:val="0"/>
          <w:color w:val="0F172A"/>
          <w:sz w:val="21"/>
        </w:rPr>
        <w:t>TED University, Department of Computer Engineering — academic owner and accreditation authority.</w:t>
      </w:r>
    </w:p>
    <w:p>
      <w:pPr>
        <w:pStyle w:val="ListBullet"/>
        <w:spacing w:after="60"/>
      </w:pPr>
      <w:r>
        <w:rPr>
          <w:rFonts w:ascii="Calibri" w:hAnsi="Calibri" w:cs="Calibri"/>
          <w:b w:val="0"/>
          <w:i w:val="0"/>
          <w:color w:val="0F172A"/>
          <w:sz w:val="21"/>
        </w:rPr>
        <w:t>Exam proctors — primary end-users of the live monitor and the post-exam review workflow.</w:t>
      </w:r>
    </w:p>
    <w:p>
      <w:pPr>
        <w:pStyle w:val="ListBullet"/>
        <w:spacing w:after="60"/>
      </w:pPr>
      <w:r>
        <w:rPr>
          <w:rFonts w:ascii="Calibri" w:hAnsi="Calibri" w:cs="Calibri"/>
          <w:b w:val="0"/>
          <w:i w:val="0"/>
          <w:color w:val="0F172A"/>
          <w:sz w:val="21"/>
        </w:rPr>
        <w:t>Students — data subjects under KVKK; their privacy and dignity is the binding constraint on every design decision.</w:t>
      </w:r>
    </w:p>
    <w:p>
      <w:pPr>
        <w:pStyle w:val="ListBullet"/>
        <w:spacing w:after="60"/>
      </w:pPr>
      <w:r>
        <w:rPr>
          <w:rFonts w:ascii="Calibri" w:hAnsi="Calibri" w:cs="Calibri"/>
          <w:b w:val="0"/>
          <w:i w:val="0"/>
          <w:color w:val="0F172A"/>
          <w:sz w:val="21"/>
        </w:rPr>
        <w:t>Instructors and academic-integrity committees — consumers of the per-session and per-exam reports.</w:t>
      </w:r>
    </w:p>
    <w:p>
      <w:pPr>
        <w:pStyle w:val="ListBullet"/>
        <w:spacing w:after="60"/>
      </w:pPr>
      <w:r>
        <w:rPr>
          <w:rFonts w:ascii="Calibri" w:hAnsi="Calibri" w:cs="Calibri"/>
          <w:b w:val="0"/>
          <w:i w:val="0"/>
          <w:color w:val="0F172A"/>
          <w:sz w:val="21"/>
        </w:rPr>
        <w:t>Project supervisor (Fırat Akba) and CMPE 491/492 jury — evaluation authority.</w:t>
      </w:r>
    </w:p>
    <w:p>
      <w:pPr>
        <w:pStyle w:val="Heading2"/>
      </w:pPr>
      <w:r>
        <w:rPr>
          <w:rFonts w:ascii="Calibri" w:hAnsi="Calibri" w:cs="Calibri"/>
          <w:b/>
          <w:i w:val="0"/>
          <w:color w:val="8C2A1F"/>
          <w:sz w:val="28"/>
        </w:rPr>
        <w:t>1.3 Project Goals</w:t>
      </w:r>
    </w:p>
    <w:p>
      <w:pPr>
        <w:pStyle w:val="ListBullet"/>
        <w:spacing w:after="60"/>
      </w:pPr>
      <w:r>
        <w:rPr>
          <w:rFonts w:ascii="Calibri" w:hAnsi="Calibri" w:cs="Calibri"/>
          <w:b w:val="0"/>
          <w:i w:val="0"/>
          <w:color w:val="0F172A"/>
          <w:sz w:val="21"/>
        </w:rPr>
        <w:t>Reduce per-proctor cognitive load by surfacing candidate incidents in real time with timestamped evidence.</w:t>
      </w:r>
    </w:p>
    <w:p>
      <w:pPr>
        <w:pStyle w:val="ListBullet"/>
        <w:spacing w:after="60"/>
      </w:pPr>
      <w:r>
        <w:rPr>
          <w:rFonts w:ascii="Calibri" w:hAnsi="Calibri" w:cs="Calibri"/>
          <w:b w:val="0"/>
          <w:i w:val="0"/>
          <w:color w:val="0F172A"/>
          <w:sz w:val="21"/>
        </w:rPr>
        <w:t>Keep the human in the loop: no automatic violation decision is ever produced by the system.</w:t>
      </w:r>
    </w:p>
    <w:p>
      <w:pPr>
        <w:pStyle w:val="ListBullet"/>
        <w:spacing w:after="60"/>
      </w:pPr>
      <w:r>
        <w:rPr>
          <w:rFonts w:ascii="Calibri" w:hAnsi="Calibri" w:cs="Calibri"/>
          <w:b w:val="0"/>
          <w:i w:val="0"/>
          <w:color w:val="0F172A"/>
          <w:sz w:val="21"/>
        </w:rPr>
        <w:t>Achieve ≥85 % detection accuracy under standard classroom lighting (the target set in the CMPE 491 Analysis Report, §3.3).</w:t>
      </w:r>
    </w:p>
    <w:p>
      <w:pPr>
        <w:pStyle w:val="ListBullet"/>
        <w:spacing w:after="60"/>
      </w:pPr>
      <w:r>
        <w:rPr>
          <w:rFonts w:ascii="Calibri" w:hAnsi="Calibri" w:cs="Calibri"/>
          <w:b w:val="0"/>
          <w:i w:val="0"/>
          <w:color w:val="0F172A"/>
          <w:sz w:val="21"/>
        </w:rPr>
        <w:t>Comply with KVKK / GDPR data protection law: minimal retention, encrypted-at-rest evidence, auditable access.</w:t>
      </w:r>
    </w:p>
    <w:p>
      <w:pPr>
        <w:pStyle w:val="ListBullet"/>
        <w:spacing w:after="60"/>
      </w:pPr>
      <w:r>
        <w:rPr>
          <w:rFonts w:ascii="Calibri" w:hAnsi="Calibri" w:cs="Calibri"/>
          <w:b w:val="0"/>
          <w:i w:val="0"/>
          <w:color w:val="0F172A"/>
          <w:sz w:val="21"/>
        </w:rPr>
        <w:t>Ship a system that can be operated on commodity hardware — no GPU requirement, no enterprise licensing burden.</w:t>
      </w:r>
    </w:p>
    <w:p>
      <w:pPr>
        <w:pStyle w:val="Heading2"/>
      </w:pPr>
      <w:r>
        <w:rPr>
          <w:rFonts w:ascii="Calibri" w:hAnsi="Calibri" w:cs="Calibri"/>
          <w:b/>
          <w:i w:val="0"/>
          <w:color w:val="8C2A1F"/>
          <w:sz w:val="28"/>
        </w:rPr>
        <w:t>1.4 Scope (Final, As Shipped)</w:t>
      </w:r>
    </w:p>
    <w:p>
      <w:pPr>
        <w:spacing w:after="120" w:line="300" w:lineRule="auto"/>
      </w:pPr>
      <w:r>
        <w:rPr>
          <w:rFonts w:ascii="Calibri" w:hAnsi="Calibri" w:cs="Calibri"/>
          <w:b w:val="0"/>
          <w:i w:val="0"/>
          <w:color w:val="0F172A"/>
          <w:sz w:val="22"/>
        </w:rPr>
        <w:t>Items marked “in scope” are present on the current branch (chore/roboflow-workspace-env) and verified by direct file inspection on 2026-05-14.</w:t>
      </w:r>
    </w:p>
    <w:tbl>
      <w:tblPr>
        <w:tblStyle w:val="LightGrid-Accent1"/>
        <w:tblW w:type="auto" w:w="0"/>
        <w:tblLook w:firstColumn="1" w:firstRow="1" w:lastColumn="0" w:lastRow="0" w:noHBand="0" w:noVBand="1" w:val="04A0"/>
      </w:tblPr>
      <w:tblGrid>
        <w:gridCol w:w="3024"/>
        <w:gridCol w:w="3024"/>
        <w:gridCol w:w="3024"/>
      </w:tblGrid>
      <w:tr>
        <w:tc>
          <w:tcPr>
            <w:tcW w:type="dxa" w:w="1701"/>
            <w:shd w:fill="C0392B"/>
          </w:tcPr>
          <w:p>
            <w:r/>
            <w:r>
              <w:rPr>
                <w:rFonts w:ascii="Calibri" w:hAnsi="Calibri" w:cs="Calibri"/>
                <w:b/>
                <w:i w:val="0"/>
                <w:color w:val="FFFFFF"/>
                <w:sz w:val="21"/>
              </w:rPr>
              <w:t>Area</w:t>
            </w:r>
          </w:p>
        </w:tc>
        <w:tc>
          <w:tcPr>
            <w:tcW w:type="dxa" w:w="3685"/>
            <w:shd w:fill="C0392B"/>
          </w:tcPr>
          <w:p>
            <w:r/>
            <w:r>
              <w:rPr>
                <w:rFonts w:ascii="Calibri" w:hAnsi="Calibri" w:cs="Calibri"/>
                <w:b/>
                <w:i w:val="0"/>
                <w:color w:val="FFFFFF"/>
                <w:sz w:val="21"/>
              </w:rPr>
              <w:t>In scope</w:t>
            </w:r>
          </w:p>
        </w:tc>
        <w:tc>
          <w:tcPr>
            <w:tcW w:type="dxa" w:w="3685"/>
            <w:shd w:fill="C0392B"/>
          </w:tcPr>
          <w:p>
            <w:r/>
            <w:r>
              <w:rPr>
                <w:rFonts w:ascii="Calibri" w:hAnsi="Calibri" w:cs="Calibri"/>
                <w:b/>
                <w:i w:val="0"/>
                <w:color w:val="FFFFFF"/>
                <w:sz w:val="21"/>
              </w:rPr>
              <w:t>Out of scope / future</w:t>
            </w:r>
          </w:p>
        </w:tc>
      </w:tr>
      <w:tr>
        <w:tc>
          <w:tcPr>
            <w:tcW w:type="dxa" w:w="1701"/>
            <w:vAlign w:val="top"/>
          </w:tcPr>
          <w:p>
            <w:r/>
            <w:r>
              <w:rPr>
                <w:rFonts w:ascii="Calibri" w:hAnsi="Calibri" w:cs="Calibri"/>
                <w:b w:val="0"/>
                <w:i w:val="0"/>
                <w:color w:val="0F172A"/>
                <w:sz w:val="20"/>
              </w:rPr>
              <w:t>Authentication</w:t>
            </w:r>
          </w:p>
        </w:tc>
        <w:tc>
          <w:tcPr>
            <w:tcW w:type="dxa" w:w="3685"/>
            <w:vAlign w:val="top"/>
          </w:tcPr>
          <w:p>
            <w:r/>
            <w:r>
              <w:rPr>
                <w:rFonts w:ascii="Calibri" w:hAnsi="Calibri" w:cs="Calibri"/>
                <w:b w:val="0"/>
                <w:i w:val="0"/>
                <w:color w:val="0F172A"/>
                <w:sz w:val="20"/>
              </w:rPr>
              <w:t>Email + password, forced password change, password reset (PKCE), four roles (admin / supervisor / assistant / guest), row-level security</w:t>
            </w:r>
          </w:p>
        </w:tc>
        <w:tc>
          <w:tcPr>
            <w:tcW w:type="dxa" w:w="3685"/>
            <w:vAlign w:val="top"/>
          </w:tcPr>
          <w:p>
            <w:r/>
            <w:r>
              <w:rPr>
                <w:rFonts w:ascii="Calibri" w:hAnsi="Calibri" w:cs="Calibri"/>
                <w:b w:val="0"/>
                <w:i w:val="0"/>
                <w:color w:val="0F172A"/>
                <w:sz w:val="20"/>
              </w:rPr>
              <w:t>OAuth (Google/Microsoft), magic link, SSO</w:t>
            </w:r>
          </w:p>
        </w:tc>
      </w:tr>
      <w:tr>
        <w:tc>
          <w:tcPr>
            <w:tcW w:type="dxa" w:w="1701"/>
            <w:vAlign w:val="top"/>
          </w:tcPr>
          <w:p>
            <w:r/>
            <w:r>
              <w:rPr>
                <w:rFonts w:ascii="Calibri" w:hAnsi="Calibri" w:cs="Calibri"/>
                <w:b w:val="0"/>
                <w:i w:val="0"/>
                <w:color w:val="0F172A"/>
                <w:sz w:val="20"/>
              </w:rPr>
              <w:t>Exam workflow</w:t>
            </w:r>
          </w:p>
        </w:tc>
        <w:tc>
          <w:tcPr>
            <w:tcW w:type="dxa" w:w="3685"/>
            <w:vAlign w:val="top"/>
          </w:tcPr>
          <w:p>
            <w:r/>
            <w:r>
              <w:rPr>
                <w:rFonts w:ascii="Calibri" w:hAnsi="Calibri" w:cs="Calibri"/>
                <w:b w:val="0"/>
                <w:i w:val="0"/>
                <w:color w:val="0F172A"/>
                <w:sz w:val="20"/>
              </w:rPr>
              <w:t>Five-step exam wizard, multi-room sessions, proctor &amp; student assignment, calibration, live monitor, post-exam review with clean/suspicious/violation decision</w:t>
            </w:r>
          </w:p>
        </w:tc>
        <w:tc>
          <w:tcPr>
            <w:tcW w:type="dxa" w:w="3685"/>
            <w:vAlign w:val="top"/>
          </w:tcPr>
          <w:p>
            <w:r/>
            <w:r>
              <w:rPr>
                <w:rFonts w:ascii="Calibri" w:hAnsi="Calibri" w:cs="Calibri"/>
                <w:b w:val="0"/>
                <w:i w:val="0"/>
                <w:color w:val="0F172A"/>
                <w:sz w:val="20"/>
              </w:rPr>
              <w:t>Automated cheating verdicts; mobile proctor app</w:t>
            </w:r>
          </w:p>
        </w:tc>
      </w:tr>
      <w:tr>
        <w:tc>
          <w:tcPr>
            <w:tcW w:type="dxa" w:w="1701"/>
            <w:vAlign w:val="top"/>
          </w:tcPr>
          <w:p>
            <w:r/>
            <w:r>
              <w:rPr>
                <w:rFonts w:ascii="Calibri" w:hAnsi="Calibri" w:cs="Calibri"/>
                <w:b w:val="0"/>
                <w:i w:val="0"/>
                <w:color w:val="0F172A"/>
                <w:sz w:val="20"/>
              </w:rPr>
              <w:t>AI pipeline</w:t>
            </w:r>
          </w:p>
        </w:tc>
        <w:tc>
          <w:tcPr>
            <w:tcW w:type="dxa" w:w="3685"/>
            <w:vAlign w:val="top"/>
          </w:tcPr>
          <w:p>
            <w:r/>
            <w:r>
              <w:rPr>
                <w:rFonts w:ascii="Calibri" w:hAnsi="Calibri" w:cs="Calibri"/>
                <w:b w:val="0"/>
                <w:i w:val="0"/>
                <w:color w:val="0F172A"/>
                <w:sz w:val="20"/>
              </w:rPr>
              <w:t>YOLOv8n object detection, BoT-SORT tracking, MediaPipe face mesh + pose, InsightFace ArcFace embeddings, 16 behaviour rules, multi-camera fusion (Sprint 18)</w:t>
            </w:r>
          </w:p>
        </w:tc>
        <w:tc>
          <w:tcPr>
            <w:tcW w:type="dxa" w:w="3685"/>
            <w:vAlign w:val="top"/>
          </w:tcPr>
          <w:p>
            <w:r/>
            <w:r>
              <w:rPr>
                <w:rFonts w:ascii="Calibri" w:hAnsi="Calibri" w:cs="Calibri"/>
                <w:b w:val="0"/>
                <w:i w:val="0"/>
                <w:color w:val="0F172A"/>
                <w:sz w:val="20"/>
              </w:rPr>
              <w:t>TensorFlow LSTM/GRU sequence model (Phase C), edge inference, audio analysis</w:t>
            </w:r>
          </w:p>
        </w:tc>
      </w:tr>
      <w:tr>
        <w:tc>
          <w:tcPr>
            <w:tcW w:type="dxa" w:w="1701"/>
            <w:vAlign w:val="top"/>
          </w:tcPr>
          <w:p>
            <w:r/>
            <w:r>
              <w:rPr>
                <w:rFonts w:ascii="Calibri" w:hAnsi="Calibri" w:cs="Calibri"/>
                <w:b w:val="0"/>
                <w:i w:val="0"/>
                <w:color w:val="0F172A"/>
                <w:sz w:val="20"/>
              </w:rPr>
              <w:t>Reports</w:t>
            </w:r>
          </w:p>
        </w:tc>
        <w:tc>
          <w:tcPr>
            <w:tcW w:type="dxa" w:w="3685"/>
            <w:vAlign w:val="top"/>
          </w:tcPr>
          <w:p>
            <w:r/>
            <w:r>
              <w:rPr>
                <w:rFonts w:ascii="Calibri" w:hAnsi="Calibri" w:cs="Calibri"/>
                <w:b w:val="0"/>
                <w:i w:val="0"/>
                <w:color w:val="0F172A"/>
                <w:sz w:val="20"/>
              </w:rPr>
              <w:t>PDF report per exam / session / student, evidence ZIP with SHA-256 manifest, email delivery</w:t>
            </w:r>
          </w:p>
        </w:tc>
        <w:tc>
          <w:tcPr>
            <w:tcW w:type="dxa" w:w="3685"/>
            <w:vAlign w:val="top"/>
          </w:tcPr>
          <w:p>
            <w:r/>
            <w:r>
              <w:rPr>
                <w:rFonts w:ascii="Calibri" w:hAnsi="Calibri" w:cs="Calibri"/>
                <w:b w:val="0"/>
                <w:i w:val="0"/>
                <w:color w:val="0F172A"/>
                <w:sz w:val="20"/>
              </w:rPr>
              <w:t>Excel export, customisable report templates</w:t>
            </w:r>
          </w:p>
        </w:tc>
      </w:tr>
      <w:tr>
        <w:tc>
          <w:tcPr>
            <w:tcW w:type="dxa" w:w="1701"/>
            <w:vAlign w:val="top"/>
          </w:tcPr>
          <w:p>
            <w:r/>
            <w:r>
              <w:rPr>
                <w:rFonts w:ascii="Calibri" w:hAnsi="Calibri" w:cs="Calibri"/>
                <w:b w:val="0"/>
                <w:i w:val="0"/>
                <w:color w:val="0F172A"/>
                <w:sz w:val="20"/>
              </w:rPr>
              <w:t>Sprint platform</w:t>
            </w:r>
          </w:p>
        </w:tc>
        <w:tc>
          <w:tcPr>
            <w:tcW w:type="dxa" w:w="3685"/>
            <w:vAlign w:val="top"/>
          </w:tcPr>
          <w:p>
            <w:r/>
            <w:r>
              <w:rPr>
                <w:rFonts w:ascii="Calibri" w:hAnsi="Calibri" w:cs="Calibri"/>
                <w:b w:val="0"/>
                <w:i w:val="0"/>
                <w:color w:val="0F172A"/>
                <w:sz w:val="20"/>
              </w:rPr>
              <w:t>Sprint &amp; backlog board (PRD-018), dependency graph, code-review workflow, burndown</w:t>
            </w:r>
          </w:p>
        </w:tc>
        <w:tc>
          <w:tcPr>
            <w:tcW w:type="dxa" w:w="3685"/>
            <w:vAlign w:val="top"/>
          </w:tcPr>
          <w:p>
            <w:r/>
            <w:r>
              <w:rPr>
                <w:rFonts w:ascii="Calibri" w:hAnsi="Calibri" w:cs="Calibri"/>
                <w:b w:val="0"/>
                <w:i w:val="0"/>
                <w:color w:val="0F172A"/>
                <w:sz w:val="20"/>
              </w:rPr>
              <w:t>Public-issue tracker</w:t>
            </w:r>
          </w:p>
        </w:tc>
      </w:tr>
      <w:tr>
        <w:tc>
          <w:tcPr>
            <w:tcW w:type="dxa" w:w="1701"/>
            <w:vAlign w:val="top"/>
          </w:tcPr>
          <w:p>
            <w:r/>
            <w:r>
              <w:rPr>
                <w:rFonts w:ascii="Calibri" w:hAnsi="Calibri" w:cs="Calibri"/>
                <w:b w:val="0"/>
                <w:i w:val="0"/>
                <w:color w:val="0F172A"/>
                <w:sz w:val="20"/>
              </w:rPr>
              <w:t>Infrastructure</w:t>
            </w:r>
          </w:p>
        </w:tc>
        <w:tc>
          <w:tcPr>
            <w:tcW w:type="dxa" w:w="3685"/>
            <w:vAlign w:val="top"/>
          </w:tcPr>
          <w:p>
            <w:r/>
            <w:r>
              <w:rPr>
                <w:rFonts w:ascii="Calibri" w:hAnsi="Calibri" w:cs="Calibri"/>
                <w:b w:val="0"/>
                <w:i w:val="0"/>
                <w:color w:val="0F172A"/>
                <w:sz w:val="20"/>
              </w:rPr>
              <w:t>AWS ECS Fargate + ALB + ACM + Route 53 + ECR, GitHub Actions CI/CD with Supabase migrations gating deploys, Sentry error tracking</w:t>
            </w:r>
          </w:p>
        </w:tc>
        <w:tc>
          <w:tcPr>
            <w:tcW w:type="dxa" w:w="3685"/>
            <w:vAlign w:val="top"/>
          </w:tcPr>
          <w:p>
            <w:r/>
            <w:r>
              <w:rPr>
                <w:rFonts w:ascii="Calibri" w:hAnsi="Calibri" w:cs="Calibri"/>
                <w:b w:val="0"/>
                <w:i w:val="0"/>
                <w:color w:val="0F172A"/>
                <w:sz w:val="20"/>
              </w:rPr>
              <w:t>Auto-scaling, blue/green canary</w:t>
            </w:r>
          </w:p>
        </w:tc>
      </w:tr>
    </w:tbl>
    <w:p>
      <w:pPr>
        <w:pStyle w:val="Heading2"/>
      </w:pPr>
      <w:r>
        <w:rPr>
          <w:rFonts w:ascii="Calibri" w:hAnsi="Calibri" w:cs="Calibri"/>
          <w:b/>
          <w:i w:val="0"/>
          <w:color w:val="8C2A1F"/>
          <w:sz w:val="28"/>
        </w:rPr>
        <w:t>1.5 GitHub Repository</w:t>
      </w:r>
    </w:p>
    <w:p>
      <w:pPr>
        <w:spacing w:after="120" w:line="300" w:lineRule="auto"/>
      </w:pPr>
      <w:r>
        <w:rPr>
          <w:rFonts w:ascii="Calibri" w:hAnsi="Calibri" w:cs="Calibri"/>
          <w:b w:val="0"/>
          <w:i w:val="0"/>
          <w:color w:val="0F172A"/>
          <w:sz w:val="22"/>
        </w:rPr>
        <w:t>Per CMPE 492 syllabus §3.6.4, the GitHub URLs are listed below and reproduced on the project web site:</w:t>
      </w:r>
    </w:p>
    <w:p>
      <w:pPr>
        <w:pStyle w:val="ListBullet"/>
        <w:spacing w:after="60"/>
      </w:pPr>
      <w:r>
        <w:rPr>
          <w:rFonts w:ascii="Calibri" w:hAnsi="Calibri" w:cs="Calibri"/>
          <w:b w:val="0"/>
          <w:i w:val="0"/>
          <w:color w:val="0F172A"/>
          <w:sz w:val="21"/>
        </w:rPr>
        <w:t>Monorepo (portal + AI service + infrastructure + PRDs): https://github.com/kursatozturk/HorusEye</w:t>
      </w:r>
    </w:p>
    <w:p>
      <w:pPr>
        <w:pStyle w:val="ListBullet"/>
        <w:spacing w:after="60"/>
      </w:pPr>
      <w:r>
        <w:rPr>
          <w:rFonts w:ascii="Calibri" w:hAnsi="Calibri" w:cs="Calibri"/>
          <w:b w:val="0"/>
          <w:i w:val="0"/>
          <w:color w:val="0F172A"/>
          <w:sz w:val="21"/>
        </w:rPr>
        <w:t>Staging deployment: https://staging.horuseye.app</w:t>
      </w:r>
    </w:p>
    <w:p>
      <w:pPr>
        <w:pStyle w:val="ListBullet"/>
        <w:spacing w:after="60"/>
      </w:pPr>
      <w:r>
        <w:rPr>
          <w:rFonts w:ascii="Calibri" w:hAnsi="Calibri" w:cs="Calibri"/>
          <w:b w:val="0"/>
          <w:i w:val="0"/>
          <w:color w:val="0F172A"/>
          <w:sz w:val="21"/>
        </w:rPr>
        <w:t>Production deployment: https://horuseye.app</w:t>
      </w:r>
    </w:p>
    <w:p>
      <w:pPr>
        <w:pStyle w:val="ListBullet"/>
        <w:spacing w:after="60"/>
      </w:pPr>
      <w:r>
        <w:rPr>
          <w:rFonts w:ascii="Calibri" w:hAnsi="Calibri" w:cs="Calibri"/>
          <w:b w:val="0"/>
          <w:i w:val="0"/>
          <w:color w:val="0F172A"/>
          <w:sz w:val="21"/>
        </w:rPr>
        <w:t>AI service health (production): https://ai.horuseye.app/health</w:t>
      </w:r>
    </w:p>
    <w:p>
      <w:r>
        <w:br w:type="page"/>
      </w:r>
    </w:p>
    <w:p>
      <w:pPr>
        <w:pStyle w:val="Heading1"/>
      </w:pPr>
      <w:r>
        <w:rPr>
          <w:rFonts w:ascii="Calibri" w:hAnsi="Calibri" w:cs="Calibri"/>
          <w:b/>
          <w:i w:val="0"/>
          <w:color w:val="8C2A1F"/>
          <w:sz w:val="36"/>
        </w:rPr>
        <w:t>2. Background and Related Work</w:t>
      </w:r>
    </w:p>
    <w:p>
      <w:pPr>
        <w:pStyle w:val="Heading2"/>
      </w:pPr>
      <w:r>
        <w:rPr>
          <w:rFonts w:ascii="Calibri" w:hAnsi="Calibri" w:cs="Calibri"/>
          <w:b/>
          <w:i w:val="0"/>
          <w:color w:val="8C2A1F"/>
          <w:sz w:val="28"/>
        </w:rPr>
        <w:t>2.1 Computer Vision in Exam Proctoring</w:t>
      </w:r>
    </w:p>
    <w:p>
      <w:pPr>
        <w:spacing w:after="120" w:line="300" w:lineRule="auto"/>
      </w:pPr>
      <w:r>
        <w:rPr>
          <w:rFonts w:ascii="Calibri" w:hAnsi="Calibri" w:cs="Calibri"/>
          <w:b w:val="0"/>
          <w:i w:val="0"/>
          <w:color w:val="0F172A"/>
          <w:sz w:val="22"/>
        </w:rPr>
        <w:t>Academic literature on automated proctoring is split between online (single-webcam) and on-site (multi-camera) systems. Atoum et al. (2017) proposed a multi-modal pipeline for online proctoring combining gaze, head pose, mouth motion and active-window analysis; their work demonstrated that no single signal is reliable on its own — temporal aggregation across modalities is mandatory. Asep &amp; Bandung (2019) extended the gaze-based approach with Haar cascades for eye-region detection but stopped short of integrating object detection, leaving phones and earbuds undetected. The shift to deep learning was led by studies using YOLOv3/v4 for unauthorised-object detection in invigilation; we adopted the smaller YOLOv8n nano variant for two reasons: (a) it runs above 30 FPS on a single CPU core, removing the GPU requirement that dominates academic deployments, and (b) it ships in the actively maintained Ultralytics framework which integrates a BoT-SORT tracker out of the box.</w:t>
      </w:r>
    </w:p>
    <w:p>
      <w:pPr>
        <w:spacing w:after="120" w:line="300" w:lineRule="auto"/>
      </w:pPr>
      <w:r>
        <w:rPr>
          <w:rFonts w:ascii="Calibri" w:hAnsi="Calibri" w:cs="Calibri"/>
          <w:b w:val="0"/>
          <w:i w:val="0"/>
          <w:color w:val="0F172A"/>
          <w:sz w:val="22"/>
        </w:rPr>
        <w:t>For face and gaze tracking we chose Google's MediaPipe Face Mesh over the legacy dlib 68-landmark cascade or OpenFace, because MediaPipe provides 468 landmarks with iris tracking, is actively maintained by Google AI Edge, and runs at 25+ FPS on CPU. For multi-student tracking and re-identification we evaluated ByteTrack, BoT-SORT and DeepSORT and chose BoT-SORT because of its superior re-identification after occlusion — a frequent event when a student leans toward a neighbour. Cross-camera identity is handled by ArcFace embeddings (InsightFace `buffalo_l` pack) stored in pgvector, an approach proven at production scale by recent face-recognition deployments.</w:t>
      </w:r>
    </w:p>
    <w:p>
      <w:pPr>
        <w:pStyle w:val="Heading2"/>
      </w:pPr>
      <w:r>
        <w:rPr>
          <w:rFonts w:ascii="Calibri" w:hAnsi="Calibri" w:cs="Calibri"/>
          <w:b/>
          <w:i w:val="0"/>
          <w:color w:val="8C2A1F"/>
          <w:sz w:val="28"/>
        </w:rPr>
        <w:t>2.2 Privacy and Ethics Framework</w:t>
      </w:r>
    </w:p>
    <w:p>
      <w:pPr>
        <w:spacing w:after="120" w:line="300" w:lineRule="auto"/>
      </w:pPr>
      <w:r>
        <w:rPr>
          <w:rFonts w:ascii="Calibri" w:hAnsi="Calibri" w:cs="Calibri"/>
          <w:b w:val="0"/>
          <w:i w:val="0"/>
          <w:color w:val="0F172A"/>
          <w:sz w:val="22"/>
        </w:rPr>
        <w:t>The system processes biometric data inside an educational context, which places it under three overlapping regulatory and ethical frameworks:</w:t>
      </w:r>
    </w:p>
    <w:p>
      <w:pPr>
        <w:pStyle w:val="ListBullet"/>
        <w:spacing w:after="60"/>
      </w:pPr>
      <w:r>
        <w:rPr>
          <w:rFonts w:ascii="Calibri" w:hAnsi="Calibri" w:cs="Calibri"/>
          <w:b w:val="0"/>
          <w:i w:val="0"/>
          <w:color w:val="0F172A"/>
          <w:sz w:val="21"/>
        </w:rPr>
        <w:t>KVKK (Türkiye Kişisel Verilerin Korunması Kanunu, Law No. 6698) — defines biometric data as a special category requiring explicit consent and minimal retention. We expose a consent acknowledgement at sign-in (per BL-133) and retain incident evidence for thirty days only.</w:t>
      </w:r>
    </w:p>
    <w:p>
      <w:pPr>
        <w:pStyle w:val="ListBullet"/>
        <w:spacing w:after="60"/>
      </w:pPr>
      <w:r>
        <w:rPr>
          <w:rFonts w:ascii="Calibri" w:hAnsi="Calibri" w:cs="Calibri"/>
          <w:b w:val="0"/>
          <w:i w:val="0"/>
          <w:color w:val="0F172A"/>
          <w:sz w:val="21"/>
        </w:rPr>
        <w:t>GDPR (EU 2016/679) — used as the international reference; Articles 5, 9, 22 are the operative constraints. Article 22 prohibits decisions based solely on automated processing — which is the single most important reason the system never produces an autonomous violation decision.</w:t>
      </w:r>
    </w:p>
    <w:p>
      <w:pPr>
        <w:pStyle w:val="ListBullet"/>
        <w:spacing w:after="60"/>
      </w:pPr>
      <w:r>
        <w:rPr>
          <w:rFonts w:ascii="Calibri" w:hAnsi="Calibri" w:cs="Calibri"/>
          <w:b w:val="0"/>
          <w:i w:val="0"/>
          <w:color w:val="0F172A"/>
          <w:sz w:val="21"/>
        </w:rPr>
        <w:t>ACM and IEEE Codes of Ethics — applied to bias mitigation (we publish per-rule confidence distributions so proctors can recalibrate thresholds) and to transparency (every incident lists the rules that triggered it).</w:t>
      </w:r>
    </w:p>
    <w:tbl>
      <w:tblPr>
        <w:tblW w:type="auto" w:w="0"/>
        <w:tblLayout w:type="autofit"/>
        <w:tblLook w:firstColumn="1" w:firstRow="1" w:lastColumn="0" w:lastRow="0" w:noHBand="0" w:noVBand="1" w:val="04A0"/>
      </w:tblPr>
      <w:tblGrid>
        <w:gridCol w:w="9072"/>
      </w:tblGrid>
      <w:tr>
        <w:tc>
          <w:tcPr>
            <w:tcW w:type="dxa" w:w="9072"/>
            <w:shd w:fill="FDF2F0"/>
          </w:tcPr>
          <w:p>
            <w:r>
              <w:rPr>
                <w:rFonts w:ascii="Calibri" w:hAnsi="Calibri" w:cs="Calibri"/>
                <w:b/>
                <w:i w:val="0"/>
                <w:color w:val="8C2A1F"/>
                <w:sz w:val="22"/>
              </w:rPr>
              <w:t>Design principle — human in the loop</w:t>
            </w:r>
          </w:p>
          <w:p>
            <w:pPr>
              <w:spacing w:before="40"/>
            </w:pPr>
            <w:r>
              <w:rPr>
                <w:rFonts w:ascii="Calibri" w:hAnsi="Calibri" w:cs="Calibri"/>
                <w:b w:val="0"/>
                <w:i w:val="0"/>
                <w:color w:val="0F172A"/>
                <w:sz w:val="21"/>
              </w:rPr>
              <w:t>The proctor — not the system — assigns the final clean / suspicious / violation label. The portal explicitly labels every incident as a CANDIDATE until the human review step is complete. This is enforced in the database with a NULL proctor_decision column and a foreign key (decided_by) that must be populated before any report can be generated.</w:t>
            </w:r>
          </w:p>
        </w:tc>
      </w:tr>
    </w:tbl>
    <w:p>
      <w:r>
        <w:br w:type="page"/>
      </w:r>
    </w:p>
    <w:p>
      <w:pPr>
        <w:pStyle w:val="Heading1"/>
      </w:pPr>
      <w:r>
        <w:rPr>
          <w:rFonts w:ascii="Calibri" w:hAnsi="Calibri" w:cs="Calibri"/>
          <w:b/>
          <w:i w:val="0"/>
          <w:color w:val="8C2A1F"/>
          <w:sz w:val="36"/>
        </w:rPr>
        <w:t>3. Final System Architecture</w:t>
      </w:r>
    </w:p>
    <w:p>
      <w:pPr>
        <w:spacing w:after="120" w:line="300" w:lineRule="auto"/>
      </w:pPr>
      <w:r>
        <w:rPr>
          <w:rFonts w:ascii="Calibri" w:hAnsi="Calibri" w:cs="Calibri"/>
          <w:b w:val="0"/>
          <w:i w:val="0"/>
          <w:color w:val="0F172A"/>
          <w:sz w:val="22"/>
        </w:rPr>
        <w:t>HorusEye runs as two cooperating services — the portal and the AI service — backed by Supabase for persistence, storage, and row-level security. Both services ship as Docker images to Amazon ECR and run on AWS ECS Fargate behind separate Application Load Balancers in the eu-west-1 region. The two-service split is intentional: the portal is a stateless Next.js application that can scale horizontally without constraints, while the AI service holds per-session WebSocket connections and consumes 4 vCPU / 8 GB per task. Coupling them in a single binary would have forced the entire platform onto the AI service’s sizing envelope.</w:t>
      </w:r>
    </w:p>
    <w:p>
      <w:pPr>
        <w:pStyle w:val="Heading2"/>
      </w:pPr>
      <w:r>
        <w:rPr>
          <w:rFonts w:ascii="Calibri" w:hAnsi="Calibri" w:cs="Calibri"/>
          <w:b/>
          <w:i w:val="0"/>
          <w:color w:val="8C2A1F"/>
          <w:sz w:val="28"/>
        </w:rPr>
        <w:t>3.1 Layered View</w:t>
      </w:r>
    </w:p>
    <w:p>
      <w:pPr>
        <w:spacing w:after="120" w:line="300" w:lineRule="auto"/>
      </w:pPr>
      <w:r>
        <w:rPr>
          <w:rFonts w:ascii="Calibri" w:hAnsi="Calibri" w:cs="Calibri"/>
          <w:b w:val="0"/>
          <w:i w:val="0"/>
          <w:color w:val="0F172A"/>
          <w:sz w:val="22"/>
        </w:rPr>
        <w:t>Four logical layers, top-down:</w:t>
      </w:r>
    </w:p>
    <w:p>
      <w:pPr>
        <w:pStyle w:val="ListBullet"/>
        <w:spacing w:after="60"/>
      </w:pPr>
      <w:r>
        <w:rPr>
          <w:rFonts w:ascii="Calibri" w:hAnsi="Calibri" w:cs="Calibri"/>
          <w:b w:val="0"/>
          <w:i w:val="0"/>
          <w:color w:val="0F172A"/>
          <w:sz w:val="21"/>
        </w:rPr>
        <w:t>Presentation Layer — Next.js 16.1.7 + React 19.2.3 portal with shadcn/ui components, served from ECS Fargate. Public area (/, /docs/[slug]), authenticated area (/dashboard, /exams, /sprints, /settings, …) and a proxy route for signed file downloads (/d/[id]).</w:t>
      </w:r>
    </w:p>
    <w:p>
      <w:pPr>
        <w:pStyle w:val="ListBullet"/>
        <w:spacing w:after="60"/>
      </w:pPr>
      <w:r>
        <w:rPr>
          <w:rFonts w:ascii="Calibri" w:hAnsi="Calibri" w:cs="Calibri"/>
          <w:b w:val="0"/>
          <w:i w:val="0"/>
          <w:color w:val="0F172A"/>
          <w:sz w:val="21"/>
        </w:rPr>
        <w:t>Business / API Layer — 93 Next.js API route handlers under portal/app/api, plus the AI service REST + WebSocket endpoints (POST /publish, POST /embed, GET /health, WS /ws/sessions/{id}/detections, WS /ws/sessions/{id}/video).</w:t>
      </w:r>
    </w:p>
    <w:p>
      <w:pPr>
        <w:pStyle w:val="ListBullet"/>
        <w:spacing w:after="60"/>
      </w:pPr>
      <w:r>
        <w:rPr>
          <w:rFonts w:ascii="Calibri" w:hAnsi="Calibri" w:cs="Calibri"/>
          <w:b w:val="0"/>
          <w:i w:val="0"/>
          <w:color w:val="0F172A"/>
          <w:sz w:val="21"/>
        </w:rPr>
        <w:t>AI Processing Layer — Python 3.12 + FastAPI, with sub-modules for detection (yolo_detector, tracker, face_mesh, pose), scoring (sixteen rule files), identity (face_embedder, student_matcher, multi_cam_matcher, person_reid), persistence (supabase_client, incident_writer) and reports.</w:t>
      </w:r>
    </w:p>
    <w:p>
      <w:pPr>
        <w:pStyle w:val="ListBullet"/>
        <w:spacing w:after="60"/>
      </w:pPr>
      <w:r>
        <w:rPr>
          <w:rFonts w:ascii="Calibri" w:hAnsi="Calibri" w:cs="Calibri"/>
          <w:b w:val="0"/>
          <w:i w:val="0"/>
          <w:color w:val="0F172A"/>
          <w:sz w:val="21"/>
        </w:rPr>
        <w:t>Data Layer — Supabase Postgres 17 with pgvector extension for face embeddings, Row-Level Security policies on every table, two Storage buckets (horuseye-files for documents, incident-evidence for AI-captured frames). Fifty-three migrations tracked under portal/supabase/migrations/.</w:t>
      </w:r>
    </w:p>
    <w:p>
      <w:pPr>
        <w:pStyle w:val="Heading2"/>
      </w:pPr>
      <w:r>
        <w:rPr>
          <w:rFonts w:ascii="Calibri" w:hAnsi="Calibri" w:cs="Calibri"/>
          <w:b/>
          <w:i w:val="0"/>
          <w:color w:val="8C2A1F"/>
          <w:sz w:val="28"/>
        </w:rPr>
        <w:t>3.2 Portal (Next.js 16, App Router)</w:t>
      </w:r>
    </w:p>
    <w:p>
      <w:pPr>
        <w:spacing w:after="120" w:line="300" w:lineRule="auto"/>
      </w:pPr>
      <w:r>
        <w:rPr>
          <w:rFonts w:ascii="Calibri" w:hAnsi="Calibri" w:cs="Calibri"/>
          <w:b w:val="0"/>
          <w:i w:val="0"/>
          <w:color w:val="0F172A"/>
          <w:sz w:val="22"/>
        </w:rPr>
        <w:t>The portal is built with the App Router and shipped with React 19. Authentication is implemented via Supabase SSR; the Next.js 16 “proxy.ts” (formerly middleware.ts) enforces role-based access and force-password-change interception before any page renders. The codebase covers thirty-plus protected page routes grouped into seven functional blocks:</w:t>
      </w:r>
    </w:p>
    <w:tbl>
      <w:tblPr>
        <w:tblStyle w:val="LightGrid-Accent1"/>
        <w:tblW w:type="auto" w:w="0"/>
        <w:tblLook w:firstColumn="1" w:firstRow="1" w:lastColumn="0" w:lastRow="0" w:noHBand="0" w:noVBand="1" w:val="04A0"/>
      </w:tblPr>
      <w:tblGrid>
        <w:gridCol w:w="4536"/>
        <w:gridCol w:w="4536"/>
      </w:tblGrid>
      <w:tr>
        <w:tc>
          <w:tcPr>
            <w:tcW w:type="dxa" w:w="2041"/>
            <w:shd w:fill="C0392B"/>
          </w:tcPr>
          <w:p>
            <w:r/>
            <w:r>
              <w:rPr>
                <w:rFonts w:ascii="Calibri" w:hAnsi="Calibri" w:cs="Calibri"/>
                <w:b/>
                <w:i w:val="0"/>
                <w:color w:val="FFFFFF"/>
                <w:sz w:val="21"/>
              </w:rPr>
              <w:t>Block</w:t>
            </w:r>
          </w:p>
        </w:tc>
        <w:tc>
          <w:tcPr>
            <w:tcW w:type="dxa" w:w="7030"/>
            <w:shd w:fill="C0392B"/>
          </w:tcPr>
          <w:p>
            <w:r/>
            <w:r>
              <w:rPr>
                <w:rFonts w:ascii="Calibri" w:hAnsi="Calibri" w:cs="Calibri"/>
                <w:b/>
                <w:i w:val="0"/>
                <w:color w:val="FFFFFF"/>
                <w:sz w:val="21"/>
              </w:rPr>
              <w:t>Pages (App Router)</w:t>
            </w:r>
          </w:p>
        </w:tc>
      </w:tr>
      <w:tr>
        <w:tc>
          <w:tcPr>
            <w:tcW w:type="dxa" w:w="2041"/>
            <w:vAlign w:val="top"/>
          </w:tcPr>
          <w:p>
            <w:r/>
            <w:r>
              <w:rPr>
                <w:rFonts w:ascii="Calibri" w:hAnsi="Calibri" w:cs="Calibri"/>
                <w:b w:val="0"/>
                <w:i w:val="0"/>
                <w:color w:val="0F172A"/>
                <w:sz w:val="20"/>
              </w:rPr>
              <w:t>Authentication</w:t>
            </w:r>
          </w:p>
        </w:tc>
        <w:tc>
          <w:tcPr>
            <w:tcW w:type="dxa" w:w="7030"/>
            <w:vAlign w:val="top"/>
          </w:tcPr>
          <w:p>
            <w:r/>
            <w:r>
              <w:rPr>
                <w:rFonts w:ascii="Calibri" w:hAnsi="Calibri" w:cs="Calibri"/>
                <w:b w:val="0"/>
                <w:i w:val="0"/>
                <w:color w:val="0F172A"/>
                <w:sz w:val="20"/>
              </w:rPr>
              <w:t>(auth)/login · (auth)/change-password · (auth)/reset-password</w:t>
            </w:r>
          </w:p>
        </w:tc>
      </w:tr>
      <w:tr>
        <w:tc>
          <w:tcPr>
            <w:tcW w:type="dxa" w:w="2041"/>
            <w:vAlign w:val="top"/>
          </w:tcPr>
          <w:p>
            <w:r/>
            <w:r>
              <w:rPr>
                <w:rFonts w:ascii="Calibri" w:hAnsi="Calibri" w:cs="Calibri"/>
                <w:b w:val="0"/>
                <w:i w:val="0"/>
                <w:color w:val="0F172A"/>
                <w:sz w:val="20"/>
              </w:rPr>
              <w:t>Exams &amp; Live Monitoring</w:t>
            </w:r>
          </w:p>
        </w:tc>
        <w:tc>
          <w:tcPr>
            <w:tcW w:type="dxa" w:w="7030"/>
            <w:vAlign w:val="top"/>
          </w:tcPr>
          <w:p>
            <w:r/>
            <w:r>
              <w:rPr>
                <w:rFonts w:ascii="Calibri" w:hAnsi="Calibri" w:cs="Calibri"/>
                <w:b w:val="0"/>
                <w:i w:val="0"/>
                <w:color w:val="0F172A"/>
                <w:sz w:val="20"/>
              </w:rPr>
              <w:t>/exams · /exams/new · /exams/[id] · /exams/[id]/live · /exams/[id]/review · /exams/[id]/incidents · /exams/analytics · /exam-rooms</w:t>
            </w:r>
          </w:p>
        </w:tc>
      </w:tr>
      <w:tr>
        <w:tc>
          <w:tcPr>
            <w:tcW w:type="dxa" w:w="2041"/>
            <w:vAlign w:val="top"/>
          </w:tcPr>
          <w:p>
            <w:r/>
            <w:r>
              <w:rPr>
                <w:rFonts w:ascii="Calibri" w:hAnsi="Calibri" w:cs="Calibri"/>
                <w:b w:val="0"/>
                <w:i w:val="0"/>
                <w:color w:val="0F172A"/>
                <w:sz w:val="20"/>
              </w:rPr>
              <w:t>Students</w:t>
            </w:r>
          </w:p>
        </w:tc>
        <w:tc>
          <w:tcPr>
            <w:tcW w:type="dxa" w:w="7030"/>
            <w:vAlign w:val="top"/>
          </w:tcPr>
          <w:p>
            <w:r/>
            <w:r>
              <w:rPr>
                <w:rFonts w:ascii="Calibri" w:hAnsi="Calibri" w:cs="Calibri"/>
                <w:b w:val="0"/>
                <w:i w:val="0"/>
                <w:color w:val="0F172A"/>
                <w:sz w:val="20"/>
              </w:rPr>
              <w:t>/students · /students/[id]</w:t>
            </w:r>
          </w:p>
        </w:tc>
      </w:tr>
      <w:tr>
        <w:tc>
          <w:tcPr>
            <w:tcW w:type="dxa" w:w="2041"/>
            <w:vAlign w:val="top"/>
          </w:tcPr>
          <w:p>
            <w:r/>
            <w:r>
              <w:rPr>
                <w:rFonts w:ascii="Calibri" w:hAnsi="Calibri" w:cs="Calibri"/>
                <w:b w:val="0"/>
                <w:i w:val="0"/>
                <w:color w:val="0F172A"/>
                <w:sz w:val="20"/>
              </w:rPr>
              <w:t>Sprint platform</w:t>
            </w:r>
          </w:p>
        </w:tc>
        <w:tc>
          <w:tcPr>
            <w:tcW w:type="dxa" w:w="7030"/>
            <w:vAlign w:val="top"/>
          </w:tcPr>
          <w:p>
            <w:r/>
            <w:r>
              <w:rPr>
                <w:rFonts w:ascii="Calibri" w:hAnsi="Calibri" w:cs="Calibri"/>
                <w:b w:val="0"/>
                <w:i w:val="0"/>
                <w:color w:val="0F172A"/>
                <w:sz w:val="20"/>
              </w:rPr>
              <w:t>/sprints · /sprints/[id] · /sprints/[id]/analytics · /sprints/[id]/dependencies · /sprints/analytics</w:t>
            </w:r>
          </w:p>
        </w:tc>
      </w:tr>
      <w:tr>
        <w:tc>
          <w:tcPr>
            <w:tcW w:type="dxa" w:w="2041"/>
            <w:vAlign w:val="top"/>
          </w:tcPr>
          <w:p>
            <w:r/>
            <w:r>
              <w:rPr>
                <w:rFonts w:ascii="Calibri" w:hAnsi="Calibri" w:cs="Calibri"/>
                <w:b w:val="0"/>
                <w:i w:val="0"/>
                <w:color w:val="0F172A"/>
                <w:sz w:val="20"/>
              </w:rPr>
              <w:t>Files &amp; feedback</w:t>
            </w:r>
          </w:p>
        </w:tc>
        <w:tc>
          <w:tcPr>
            <w:tcW w:type="dxa" w:w="7030"/>
            <w:vAlign w:val="top"/>
          </w:tcPr>
          <w:p>
            <w:r/>
            <w:r>
              <w:rPr>
                <w:rFonts w:ascii="Calibri" w:hAnsi="Calibri" w:cs="Calibri"/>
                <w:b w:val="0"/>
                <w:i w:val="0"/>
                <w:color w:val="0F172A"/>
                <w:sz w:val="20"/>
              </w:rPr>
              <w:t>/files · /files/trash · /feedback · /reports · /reports/[id]</w:t>
            </w:r>
          </w:p>
        </w:tc>
      </w:tr>
      <w:tr>
        <w:tc>
          <w:tcPr>
            <w:tcW w:type="dxa" w:w="2041"/>
            <w:vAlign w:val="top"/>
          </w:tcPr>
          <w:p>
            <w:r/>
            <w:r>
              <w:rPr>
                <w:rFonts w:ascii="Calibri" w:hAnsi="Calibri" w:cs="Calibri"/>
                <w:b w:val="0"/>
                <w:i w:val="0"/>
                <w:color w:val="0F172A"/>
                <w:sz w:val="20"/>
              </w:rPr>
              <w:t>Team &amp; system</w:t>
            </w:r>
          </w:p>
        </w:tc>
        <w:tc>
          <w:tcPr>
            <w:tcW w:type="dxa" w:w="7030"/>
            <w:vAlign w:val="top"/>
          </w:tcPr>
          <w:p>
            <w:r/>
            <w:r>
              <w:rPr>
                <w:rFonts w:ascii="Calibri" w:hAnsi="Calibri" w:cs="Calibri"/>
                <w:b w:val="0"/>
                <w:i w:val="0"/>
                <w:color w:val="0F172A"/>
                <w:sz w:val="20"/>
              </w:rPr>
              <w:t>/team · /notifications · /calendar · /offline</w:t>
            </w:r>
          </w:p>
        </w:tc>
      </w:tr>
      <w:tr>
        <w:tc>
          <w:tcPr>
            <w:tcW w:type="dxa" w:w="2041"/>
            <w:vAlign w:val="top"/>
          </w:tcPr>
          <w:p>
            <w:r/>
            <w:r>
              <w:rPr>
                <w:rFonts w:ascii="Calibri" w:hAnsi="Calibri" w:cs="Calibri"/>
                <w:b w:val="0"/>
                <w:i w:val="0"/>
                <w:color w:val="0F172A"/>
                <w:sz w:val="20"/>
              </w:rPr>
              <w:t>Settings &amp; admin</w:t>
            </w:r>
          </w:p>
        </w:tc>
        <w:tc>
          <w:tcPr>
            <w:tcW w:type="dxa" w:w="7030"/>
            <w:vAlign w:val="top"/>
          </w:tcPr>
          <w:p>
            <w:r/>
            <w:r>
              <w:rPr>
                <w:rFonts w:ascii="Calibri" w:hAnsi="Calibri" w:cs="Calibri"/>
                <w:b w:val="0"/>
                <w:i w:val="0"/>
                <w:color w:val="0F172A"/>
                <w:sz w:val="20"/>
              </w:rPr>
              <w:t>/settings + 7 sub-pages (profile, account, appearance, users, integrations, notifications, ai-thresholds) · /admin/datasets · /admin/camera-overlap · /dev/monitor</w:t>
            </w:r>
          </w:p>
        </w:tc>
      </w:tr>
    </w:tbl>
    <w:p>
      <w:pPr>
        <w:pStyle w:val="Heading2"/>
      </w:pPr>
      <w:r>
        <w:rPr>
          <w:rFonts w:ascii="Calibri" w:hAnsi="Calibri" w:cs="Calibri"/>
          <w:b/>
          <w:i w:val="0"/>
          <w:color w:val="8C2A1F"/>
          <w:sz w:val="28"/>
        </w:rPr>
        <w:t>3.3 AI Service (FastAPI + Python 3.12)</w:t>
      </w:r>
    </w:p>
    <w:p>
      <w:pPr>
        <w:spacing w:after="120" w:line="300" w:lineRule="auto"/>
      </w:pPr>
      <w:r>
        <w:rPr>
          <w:rFonts w:ascii="Calibri" w:hAnsi="Calibri" w:cs="Calibri"/>
          <w:b w:val="0"/>
          <w:i w:val="0"/>
          <w:color w:val="0F172A"/>
          <w:sz w:val="22"/>
        </w:rPr>
        <w:t>Entry point ai-service/src/main.py wires three FastAPI routers — publish_handler, embed_handler and ws_handler — and starts a background worker (BL-248) that decouples Postgres writes and Supabase Storage uploads from the WebSocket receive loop. The pipeline is:</w:t>
      </w:r>
    </w:p>
    <w:p>
      <w:pPr>
        <w:shd w:fill="F1F5F9"/>
        <w:spacing w:after="160"/>
        <w:ind w:left="283"/>
      </w:pPr>
      <w:r>
        <w:rPr>
          <w:rFonts w:ascii="Consolas" w:hAnsi="Consolas" w:cs="Consolas"/>
          <w:b w:val="0"/>
          <w:i w:val="0"/>
          <w:color w:val="0F172A"/>
          <w:sz w:val="19"/>
        </w:rPr>
        <w:t>RTSP / WebSocket frame  →  YOLOv8n (cls 0/67/73)  →  BoT-SORT</w:t>
        <w:br/>
        <w:t xml:space="preserve">    →  per-track FaceMesh + Pose extraction  →  TrackState</w:t>
        <w:br/>
        <w:t xml:space="preserve">    →  16 scoring rules (config.yaml-tunable)</w:t>
        <w:br/>
        <w:t xml:space="preserve">    →  rule cooldown + multi-cam severity fusion</w:t>
        <w:br/>
        <w:t xml:space="preserve">    →  IncidentWriter (Supabase Storage + Postgres)</w:t>
        <w:br/>
        <w:t xml:space="preserve">    →  WS broadcast (protocol v1.1) → portal LiveMonitor</w:t>
      </w:r>
    </w:p>
    <w:p>
      <w:pPr>
        <w:spacing w:after="120" w:line="300" w:lineRule="auto"/>
      </w:pPr>
      <w:r>
        <w:rPr>
          <w:rFonts w:ascii="Calibri" w:hAnsi="Calibri" w:cs="Calibri"/>
          <w:b w:val="0"/>
          <w:i w:val="0"/>
          <w:color w:val="0F172A"/>
          <w:sz w:val="22"/>
        </w:rPr>
        <w:t>Models are pre-baked into the Docker image to remove the first-request stall: YOLOv8n weights (yolov8n.pt) and the InsightFace buffalo_l pack (~280 MB) are downloaded during image build and stored under /app/models. Configuration is split between config.yaml (per-rule thresholds: yaw, dwell, cooldown, confidence) and environment variables for deployment-time overrides.</w:t>
      </w:r>
    </w:p>
    <w:p>
      <w:pPr>
        <w:pStyle w:val="Heading2"/>
      </w:pPr>
      <w:r>
        <w:rPr>
          <w:rFonts w:ascii="Calibri" w:hAnsi="Calibri" w:cs="Calibri"/>
          <w:b/>
          <w:i w:val="0"/>
          <w:color w:val="8C2A1F"/>
          <w:sz w:val="28"/>
        </w:rPr>
        <w:t>3.4 Data Layer (Supabase / Postgres 17)</w:t>
      </w:r>
    </w:p>
    <w:p>
      <w:pPr>
        <w:spacing w:after="120" w:line="300" w:lineRule="auto"/>
      </w:pPr>
      <w:r>
        <w:rPr>
          <w:rFonts w:ascii="Calibri" w:hAnsi="Calibri" w:cs="Calibri"/>
          <w:b w:val="0"/>
          <w:i w:val="0"/>
          <w:color w:val="0F172A"/>
          <w:sz w:val="22"/>
        </w:rPr>
        <w:t>Beyond the application tables, the schema includes a sprint and backlog management module (PRD-018) — eighteen sprints, 320+ backlog items linked to PRDs, an audit table that captures every status transition, and a code-review workflow that blocks completion until a peer review row exists. Every domain table has Row-Level Security; for instance, incidents are readable only by admins and supervisors who own the exam session, while audit_logs are append-only (no UPDATE or DELETE allowed even from the service role).</w:t>
      </w:r>
    </w:p>
    <w:p>
      <w:pPr>
        <w:pStyle w:val="Heading2"/>
      </w:pPr>
      <w:r>
        <w:rPr>
          <w:rFonts w:ascii="Calibri" w:hAnsi="Calibri" w:cs="Calibri"/>
          <w:b/>
          <w:i w:val="0"/>
          <w:color w:val="8C2A1F"/>
          <w:sz w:val="28"/>
        </w:rPr>
        <w:t>3.5 Infrastructure (AWS CDK + GitHub Actions)</w:t>
      </w:r>
    </w:p>
    <w:tbl>
      <w:tblPr>
        <w:tblStyle w:val="LightGrid-Accent1"/>
        <w:tblW w:type="auto" w:w="0"/>
        <w:tblLook w:firstColumn="1" w:firstRow="1" w:lastColumn="0" w:lastRow="0" w:noHBand="0" w:noVBand="1" w:val="04A0"/>
      </w:tblPr>
      <w:tblGrid>
        <w:gridCol w:w="4536"/>
        <w:gridCol w:w="4536"/>
      </w:tblGrid>
      <w:tr>
        <w:tc>
          <w:tcPr>
            <w:tcW w:type="dxa" w:w="2041"/>
            <w:shd w:fill="C0392B"/>
          </w:tcPr>
          <w:p>
            <w:r/>
            <w:r>
              <w:rPr>
                <w:rFonts w:ascii="Calibri" w:hAnsi="Calibri" w:cs="Calibri"/>
                <w:b/>
                <w:i w:val="0"/>
                <w:color w:val="FFFFFF"/>
                <w:sz w:val="21"/>
              </w:rPr>
              <w:t>Component</w:t>
            </w:r>
          </w:p>
        </w:tc>
        <w:tc>
          <w:tcPr>
            <w:tcW w:type="dxa" w:w="7030"/>
            <w:shd w:fill="C0392B"/>
          </w:tcPr>
          <w:p>
            <w:r/>
            <w:r>
              <w:rPr>
                <w:rFonts w:ascii="Calibri" w:hAnsi="Calibri" w:cs="Calibri"/>
                <w:b/>
                <w:i w:val="0"/>
                <w:color w:val="FFFFFF"/>
                <w:sz w:val="21"/>
              </w:rPr>
              <w:t>Configuration</w:t>
            </w:r>
          </w:p>
        </w:tc>
      </w:tr>
      <w:tr>
        <w:tc>
          <w:tcPr>
            <w:tcW w:type="dxa" w:w="2041"/>
            <w:vAlign w:val="top"/>
          </w:tcPr>
          <w:p>
            <w:r/>
            <w:r>
              <w:rPr>
                <w:rFonts w:ascii="Calibri" w:hAnsi="Calibri" w:cs="Calibri"/>
                <w:b w:val="0"/>
                <w:i w:val="0"/>
                <w:color w:val="0F172A"/>
                <w:sz w:val="20"/>
              </w:rPr>
              <w:t>Networking</w:t>
            </w:r>
          </w:p>
        </w:tc>
        <w:tc>
          <w:tcPr>
            <w:tcW w:type="dxa" w:w="7030"/>
            <w:vAlign w:val="top"/>
          </w:tcPr>
          <w:p>
            <w:r/>
            <w:r>
              <w:rPr>
                <w:rFonts w:ascii="Calibri" w:hAnsi="Calibri" w:cs="Calibri"/>
                <w:b w:val="0"/>
                <w:i w:val="0"/>
                <w:color w:val="0F172A"/>
                <w:sz w:val="20"/>
              </w:rPr>
              <w:t>VPC, 2 AZs, public + private isolated subnets, no NAT (public IPs assigned to Fargate tasks)</w:t>
            </w:r>
          </w:p>
        </w:tc>
      </w:tr>
      <w:tr>
        <w:tc>
          <w:tcPr>
            <w:tcW w:type="dxa" w:w="2041"/>
            <w:vAlign w:val="top"/>
          </w:tcPr>
          <w:p>
            <w:r/>
            <w:r>
              <w:rPr>
                <w:rFonts w:ascii="Calibri" w:hAnsi="Calibri" w:cs="Calibri"/>
                <w:b w:val="0"/>
                <w:i w:val="0"/>
                <w:color w:val="0F172A"/>
                <w:sz w:val="20"/>
              </w:rPr>
              <w:t>Container registry</w:t>
            </w:r>
          </w:p>
        </w:tc>
        <w:tc>
          <w:tcPr>
            <w:tcW w:type="dxa" w:w="7030"/>
            <w:vAlign w:val="top"/>
          </w:tcPr>
          <w:p>
            <w:r/>
            <w:r>
              <w:rPr>
                <w:rFonts w:ascii="Calibri" w:hAnsi="Calibri" w:cs="Calibri"/>
                <w:b w:val="0"/>
                <w:i w:val="0"/>
                <w:color w:val="0F172A"/>
                <w:sz w:val="20"/>
              </w:rPr>
              <w:t>Two ECR repositories: horuseye/portal (keep 20 images) and horuseye/ai-service (keep 10)</w:t>
            </w:r>
          </w:p>
        </w:tc>
      </w:tr>
      <w:tr>
        <w:tc>
          <w:tcPr>
            <w:tcW w:type="dxa" w:w="2041"/>
            <w:vAlign w:val="top"/>
          </w:tcPr>
          <w:p>
            <w:r/>
            <w:r>
              <w:rPr>
                <w:rFonts w:ascii="Calibri" w:hAnsi="Calibri" w:cs="Calibri"/>
                <w:b w:val="0"/>
                <w:i w:val="0"/>
                <w:color w:val="0F172A"/>
                <w:sz w:val="20"/>
              </w:rPr>
              <w:t>Portal task (staging)</w:t>
            </w:r>
          </w:p>
        </w:tc>
        <w:tc>
          <w:tcPr>
            <w:tcW w:type="dxa" w:w="7030"/>
            <w:vAlign w:val="top"/>
          </w:tcPr>
          <w:p>
            <w:r/>
            <w:r>
              <w:rPr>
                <w:rFonts w:ascii="Calibri" w:hAnsi="Calibri" w:cs="Calibri"/>
                <w:b w:val="0"/>
                <w:i w:val="0"/>
                <w:color w:val="0F172A"/>
                <w:sz w:val="20"/>
              </w:rPr>
              <w:t>1 task × 0.25 vCPU × 512 MiB, port 3000, /api/health check, 2-week log retention</w:t>
            </w:r>
          </w:p>
        </w:tc>
      </w:tr>
      <w:tr>
        <w:tc>
          <w:tcPr>
            <w:tcW w:type="dxa" w:w="2041"/>
            <w:vAlign w:val="top"/>
          </w:tcPr>
          <w:p>
            <w:r/>
            <w:r>
              <w:rPr>
                <w:rFonts w:ascii="Calibri" w:hAnsi="Calibri" w:cs="Calibri"/>
                <w:b w:val="0"/>
                <w:i w:val="0"/>
                <w:color w:val="0F172A"/>
                <w:sz w:val="20"/>
              </w:rPr>
              <w:t>Portal task (production)</w:t>
            </w:r>
          </w:p>
        </w:tc>
        <w:tc>
          <w:tcPr>
            <w:tcW w:type="dxa" w:w="7030"/>
            <w:vAlign w:val="top"/>
          </w:tcPr>
          <w:p>
            <w:r/>
            <w:r>
              <w:rPr>
                <w:rFonts w:ascii="Calibri" w:hAnsi="Calibri" w:cs="Calibri"/>
                <w:b w:val="0"/>
                <w:i w:val="0"/>
                <w:color w:val="0F172A"/>
                <w:sz w:val="20"/>
              </w:rPr>
              <w:t>2 tasks × 0.25 vCPU × 512 MiB, zero-downtime rolling deploy (minHealthyPercent=100)</w:t>
            </w:r>
          </w:p>
        </w:tc>
      </w:tr>
      <w:tr>
        <w:tc>
          <w:tcPr>
            <w:tcW w:type="dxa" w:w="2041"/>
            <w:vAlign w:val="top"/>
          </w:tcPr>
          <w:p>
            <w:r/>
            <w:r>
              <w:rPr>
                <w:rFonts w:ascii="Calibri" w:hAnsi="Calibri" w:cs="Calibri"/>
                <w:b w:val="0"/>
                <w:i w:val="0"/>
                <w:color w:val="0F172A"/>
                <w:sz w:val="20"/>
              </w:rPr>
              <w:t>AI task (staging &amp; production)</w:t>
            </w:r>
          </w:p>
        </w:tc>
        <w:tc>
          <w:tcPr>
            <w:tcW w:type="dxa" w:w="7030"/>
            <w:vAlign w:val="top"/>
          </w:tcPr>
          <w:p>
            <w:r/>
            <w:r>
              <w:rPr>
                <w:rFonts w:ascii="Calibri" w:hAnsi="Calibri" w:cs="Calibri"/>
                <w:b w:val="0"/>
                <w:i w:val="0"/>
                <w:color w:val="0F172A"/>
                <w:sz w:val="20"/>
              </w:rPr>
              <w:t>1 task × 4 vCPU × 8 GiB, /health check, 180 s start grace, WebSocket idle timeout raised to 15 minutes</w:t>
            </w:r>
          </w:p>
        </w:tc>
      </w:tr>
      <w:tr>
        <w:tc>
          <w:tcPr>
            <w:tcW w:type="dxa" w:w="2041"/>
            <w:vAlign w:val="top"/>
          </w:tcPr>
          <w:p>
            <w:r/>
            <w:r>
              <w:rPr>
                <w:rFonts w:ascii="Calibri" w:hAnsi="Calibri" w:cs="Calibri"/>
                <w:b w:val="0"/>
                <w:i w:val="0"/>
                <w:color w:val="0F172A"/>
                <w:sz w:val="20"/>
              </w:rPr>
              <w:t>Domains &amp; TLS</w:t>
            </w:r>
          </w:p>
        </w:tc>
        <w:tc>
          <w:tcPr>
            <w:tcW w:type="dxa" w:w="7030"/>
            <w:vAlign w:val="top"/>
          </w:tcPr>
          <w:p>
            <w:r/>
            <w:r>
              <w:rPr>
                <w:rFonts w:ascii="Calibri" w:hAnsi="Calibri" w:cs="Calibri"/>
                <w:b w:val="0"/>
                <w:i w:val="0"/>
                <w:color w:val="0F172A"/>
                <w:sz w:val="20"/>
              </w:rPr>
              <w:t>horuseye.app · staging.horuseye.app · ai.horuseye.app · ai-staging.horuseye.app. Route 53 + ACM via DNS validation</w:t>
            </w:r>
          </w:p>
        </w:tc>
      </w:tr>
      <w:tr>
        <w:tc>
          <w:tcPr>
            <w:tcW w:type="dxa" w:w="2041"/>
            <w:vAlign w:val="top"/>
          </w:tcPr>
          <w:p>
            <w:r/>
            <w:r>
              <w:rPr>
                <w:rFonts w:ascii="Calibri" w:hAnsi="Calibri" w:cs="Calibri"/>
                <w:b w:val="0"/>
                <w:i w:val="0"/>
                <w:color w:val="0F172A"/>
                <w:sz w:val="20"/>
              </w:rPr>
              <w:t>CI/CD</w:t>
            </w:r>
          </w:p>
        </w:tc>
        <w:tc>
          <w:tcPr>
            <w:tcW w:type="dxa" w:w="7030"/>
            <w:vAlign w:val="top"/>
          </w:tcPr>
          <w:p>
            <w:r/>
            <w:r>
              <w:rPr>
                <w:rFonts w:ascii="Calibri" w:hAnsi="Calibri" w:cs="Calibri"/>
                <w:b w:val="0"/>
                <w:i w:val="0"/>
                <w:color w:val="0F172A"/>
                <w:sz w:val="20"/>
              </w:rPr>
              <w:t>GitHub Actions: 4 workflows — ci.yml (validation), staging.yml (push to develop), production.yml (push to main, manual approval), ai-service-build.yml</w:t>
            </w:r>
          </w:p>
        </w:tc>
      </w:tr>
      <w:tr>
        <w:tc>
          <w:tcPr>
            <w:tcW w:type="dxa" w:w="2041"/>
            <w:vAlign w:val="top"/>
          </w:tcPr>
          <w:p>
            <w:r/>
            <w:r>
              <w:rPr>
                <w:rFonts w:ascii="Calibri" w:hAnsi="Calibri" w:cs="Calibri"/>
                <w:b w:val="0"/>
                <w:i w:val="0"/>
                <w:color w:val="0F172A"/>
                <w:sz w:val="20"/>
              </w:rPr>
              <w:t>Migration gate</w:t>
            </w:r>
          </w:p>
        </w:tc>
        <w:tc>
          <w:tcPr>
            <w:tcW w:type="dxa" w:w="7030"/>
            <w:vAlign w:val="top"/>
          </w:tcPr>
          <w:p>
            <w:r/>
            <w:r>
              <w:rPr>
                <w:rFonts w:ascii="Calibri" w:hAnsi="Calibri" w:cs="Calibri"/>
                <w:b w:val="0"/>
                <w:i w:val="0"/>
                <w:color w:val="0F172A"/>
                <w:sz w:val="20"/>
              </w:rPr>
              <w:t>supabase db push runs BEFORE Docker build/deploy. Deploy aborts if migration fails.</w:t>
            </w:r>
          </w:p>
        </w:tc>
      </w:tr>
      <w:tr>
        <w:tc>
          <w:tcPr>
            <w:tcW w:type="dxa" w:w="2041"/>
            <w:vAlign w:val="top"/>
          </w:tcPr>
          <w:p>
            <w:r/>
            <w:r>
              <w:rPr>
                <w:rFonts w:ascii="Calibri" w:hAnsi="Calibri" w:cs="Calibri"/>
                <w:b w:val="0"/>
                <w:i w:val="0"/>
                <w:color w:val="0F172A"/>
                <w:sz w:val="20"/>
              </w:rPr>
              <w:t>Configuration</w:t>
            </w:r>
          </w:p>
        </w:tc>
        <w:tc>
          <w:tcPr>
            <w:tcW w:type="dxa" w:w="7030"/>
            <w:vAlign w:val="top"/>
          </w:tcPr>
          <w:p>
            <w:r/>
            <w:r>
              <w:rPr>
                <w:rFonts w:ascii="Calibri" w:hAnsi="Calibri" w:cs="Calibri"/>
                <w:b w:val="0"/>
                <w:i w:val="0"/>
                <w:color w:val="0F172A"/>
                <w:sz w:val="20"/>
              </w:rPr>
              <w:t>SSM Parameter Store under /horuseye/{staging|production}/* — resolved via CDK valueFromLookup, passed to ECS as env</w:t>
            </w:r>
          </w:p>
        </w:tc>
      </w:tr>
      <w:tr>
        <w:tc>
          <w:tcPr>
            <w:tcW w:type="dxa" w:w="2041"/>
            <w:vAlign w:val="top"/>
          </w:tcPr>
          <w:p>
            <w:r/>
            <w:r>
              <w:rPr>
                <w:rFonts w:ascii="Calibri" w:hAnsi="Calibri" w:cs="Calibri"/>
                <w:b w:val="0"/>
                <w:i w:val="0"/>
                <w:color w:val="0F172A"/>
                <w:sz w:val="20"/>
              </w:rPr>
              <w:t>Observability</w:t>
            </w:r>
          </w:p>
        </w:tc>
        <w:tc>
          <w:tcPr>
            <w:tcW w:type="dxa" w:w="7030"/>
            <w:vAlign w:val="top"/>
          </w:tcPr>
          <w:p>
            <w:r/>
            <w:r>
              <w:rPr>
                <w:rFonts w:ascii="Calibri" w:hAnsi="Calibri" w:cs="Calibri"/>
                <w:b w:val="0"/>
                <w:i w:val="0"/>
                <w:color w:val="0F172A"/>
                <w:sz w:val="20"/>
              </w:rPr>
              <w:t>Sentry (errors), CloudWatch (logs + metric filters for publish_idle_timeout, publish_exception, ws_close_code=1006)</w:t>
            </w:r>
          </w:p>
        </w:tc>
      </w:tr>
    </w:tbl>
    <w:p>
      <w:r>
        <w:br w:type="page"/>
      </w:r>
    </w:p>
    <w:p>
      <w:pPr>
        <w:pStyle w:val="Heading1"/>
      </w:pPr>
      <w:r>
        <w:rPr>
          <w:rFonts w:ascii="Calibri" w:hAnsi="Calibri" w:cs="Calibri"/>
          <w:b/>
          <w:i w:val="0"/>
          <w:color w:val="8C2A1F"/>
          <w:sz w:val="36"/>
        </w:rPr>
        <w:t>4. Implementation Deep Dive</w:t>
      </w:r>
    </w:p>
    <w:p>
      <w:pPr>
        <w:pStyle w:val="Heading2"/>
      </w:pPr>
      <w:r>
        <w:rPr>
          <w:rFonts w:ascii="Calibri" w:hAnsi="Calibri" w:cs="Calibri"/>
          <w:b/>
          <w:i w:val="0"/>
          <w:color w:val="8C2A1F"/>
          <w:sz w:val="28"/>
        </w:rPr>
        <w:t>4.1 Sprint History (Eighteen Sprints, ~Nine Months)</w:t>
      </w:r>
    </w:p>
    <w:p>
      <w:pPr>
        <w:spacing w:after="120" w:line="300" w:lineRule="auto"/>
      </w:pPr>
      <w:r>
        <w:rPr>
          <w:rFonts w:ascii="Calibri" w:hAnsi="Calibri" w:cs="Calibri"/>
          <w:b w:val="0"/>
          <w:i w:val="0"/>
          <w:color w:val="0F172A"/>
          <w:sz w:val="22"/>
        </w:rPr>
        <w:t>Work was tracked entirely inside the system we built (PRD-018 Sprint Backlog). Every backlog item carries a PRD reference, an assignee, a reviewer, optional dependency edges and an audit trail of status transitions.</w:t>
      </w:r>
    </w:p>
    <w:tbl>
      <w:tblPr>
        <w:tblStyle w:val="LightGrid-Accent1"/>
        <w:tblW w:type="auto" w:w="0"/>
        <w:tblLook w:firstColumn="1" w:firstRow="1" w:lastColumn="0" w:lastRow="0" w:noHBand="0" w:noVBand="1" w:val="04A0"/>
      </w:tblPr>
      <w:tblGrid>
        <w:gridCol w:w="2268"/>
        <w:gridCol w:w="2268"/>
        <w:gridCol w:w="2268"/>
        <w:gridCol w:w="2268"/>
      </w:tblGrid>
      <w:tr>
        <w:tc>
          <w:tcPr>
            <w:tcW w:type="dxa" w:w="1020"/>
            <w:shd w:fill="C0392B"/>
          </w:tcPr>
          <w:p>
            <w:r/>
            <w:r>
              <w:rPr>
                <w:rFonts w:ascii="Calibri" w:hAnsi="Calibri" w:cs="Calibri"/>
                <w:b/>
                <w:i w:val="0"/>
                <w:color w:val="FFFFFF"/>
                <w:sz w:val="21"/>
              </w:rPr>
              <w:t>Sprint</w:t>
            </w:r>
          </w:p>
        </w:tc>
        <w:tc>
          <w:tcPr>
            <w:tcW w:type="dxa" w:w="1814"/>
            <w:shd w:fill="C0392B"/>
          </w:tcPr>
          <w:p>
            <w:r/>
            <w:r>
              <w:rPr>
                <w:rFonts w:ascii="Calibri" w:hAnsi="Calibri" w:cs="Calibri"/>
                <w:b/>
                <w:i w:val="0"/>
                <w:color w:val="FFFFFF"/>
                <w:sz w:val="21"/>
              </w:rPr>
              <w:t>Window</w:t>
            </w:r>
          </w:p>
        </w:tc>
        <w:tc>
          <w:tcPr>
            <w:tcW w:type="dxa" w:w="1928"/>
            <w:shd w:fill="C0392B"/>
          </w:tcPr>
          <w:p>
            <w:r/>
            <w:r>
              <w:rPr>
                <w:rFonts w:ascii="Calibri" w:hAnsi="Calibri" w:cs="Calibri"/>
                <w:b/>
                <w:i w:val="0"/>
                <w:color w:val="FFFFFF"/>
                <w:sz w:val="21"/>
              </w:rPr>
              <w:t>Theme</w:t>
            </w:r>
          </w:p>
        </w:tc>
        <w:tc>
          <w:tcPr>
            <w:tcW w:type="dxa" w:w="4309"/>
            <w:shd w:fill="C0392B"/>
          </w:tcPr>
          <w:p>
            <w:r/>
            <w:r>
              <w:rPr>
                <w:rFonts w:ascii="Calibri" w:hAnsi="Calibri" w:cs="Calibri"/>
                <w:b/>
                <w:i w:val="0"/>
                <w:color w:val="FFFFFF"/>
                <w:sz w:val="21"/>
              </w:rPr>
              <w:t>Highlight</w:t>
            </w:r>
          </w:p>
        </w:tc>
      </w:tr>
      <w:tr>
        <w:tc>
          <w:tcPr>
            <w:tcW w:type="dxa" w:w="1020"/>
            <w:vAlign w:val="top"/>
          </w:tcPr>
          <w:p>
            <w:r/>
            <w:r>
              <w:rPr>
                <w:rFonts w:ascii="Calibri" w:hAnsi="Calibri" w:cs="Calibri"/>
                <w:b w:val="0"/>
                <w:i w:val="0"/>
                <w:color w:val="0F172A"/>
                <w:sz w:val="20"/>
              </w:rPr>
              <w:t>1–4</w:t>
            </w:r>
          </w:p>
        </w:tc>
        <w:tc>
          <w:tcPr>
            <w:tcW w:type="dxa" w:w="1814"/>
            <w:vAlign w:val="top"/>
          </w:tcPr>
          <w:p>
            <w:r/>
            <w:r>
              <w:rPr>
                <w:rFonts w:ascii="Calibri" w:hAnsi="Calibri" w:cs="Calibri"/>
                <w:b w:val="0"/>
                <w:i w:val="0"/>
                <w:color w:val="0F172A"/>
                <w:sz w:val="20"/>
              </w:rPr>
              <w:t>2026-02 → 2026-03</w:t>
            </w:r>
          </w:p>
        </w:tc>
        <w:tc>
          <w:tcPr>
            <w:tcW w:type="dxa" w:w="1928"/>
            <w:vAlign w:val="top"/>
          </w:tcPr>
          <w:p>
            <w:r/>
            <w:r>
              <w:rPr>
                <w:rFonts w:ascii="Calibri" w:hAnsi="Calibri" w:cs="Calibri"/>
                <w:b w:val="0"/>
                <w:i w:val="0"/>
                <w:color w:val="0F172A"/>
                <w:sz w:val="20"/>
              </w:rPr>
              <w:t>Foundation</w:t>
            </w:r>
          </w:p>
        </w:tc>
        <w:tc>
          <w:tcPr>
            <w:tcW w:type="dxa" w:w="4309"/>
            <w:vAlign w:val="top"/>
          </w:tcPr>
          <w:p>
            <w:r/>
            <w:r>
              <w:rPr>
                <w:rFonts w:ascii="Calibri" w:hAnsi="Calibri" w:cs="Calibri"/>
                <w:b w:val="0"/>
                <w:i w:val="0"/>
                <w:color w:val="0F172A"/>
                <w:sz w:val="20"/>
              </w:rPr>
              <w:t>Repo, design tokens, shadcn/ui, CI gates, Supabase baseline, force-password-change</w:t>
            </w:r>
          </w:p>
        </w:tc>
      </w:tr>
      <w:tr>
        <w:tc>
          <w:tcPr>
            <w:tcW w:type="dxa" w:w="1020"/>
            <w:vAlign w:val="top"/>
          </w:tcPr>
          <w:p>
            <w:r/>
            <w:r>
              <w:rPr>
                <w:rFonts w:ascii="Calibri" w:hAnsi="Calibri" w:cs="Calibri"/>
                <w:b w:val="0"/>
                <w:i w:val="0"/>
                <w:color w:val="0F172A"/>
                <w:sz w:val="20"/>
              </w:rPr>
              <w:t>5–6</w:t>
            </w:r>
          </w:p>
        </w:tc>
        <w:tc>
          <w:tcPr>
            <w:tcW w:type="dxa" w:w="1814"/>
            <w:vAlign w:val="top"/>
          </w:tcPr>
          <w:p>
            <w:r/>
            <w:r>
              <w:rPr>
                <w:rFonts w:ascii="Calibri" w:hAnsi="Calibri" w:cs="Calibri"/>
                <w:b w:val="0"/>
                <w:i w:val="0"/>
                <w:color w:val="0F172A"/>
                <w:sz w:val="20"/>
              </w:rPr>
              <w:t>2026-03 → 2026-04</w:t>
            </w:r>
          </w:p>
        </w:tc>
        <w:tc>
          <w:tcPr>
            <w:tcW w:type="dxa" w:w="1928"/>
            <w:vAlign w:val="top"/>
          </w:tcPr>
          <w:p>
            <w:r/>
            <w:r>
              <w:rPr>
                <w:rFonts w:ascii="Calibri" w:hAnsi="Calibri" w:cs="Calibri"/>
                <w:b w:val="0"/>
                <w:i w:val="0"/>
                <w:color w:val="0F172A"/>
                <w:sz w:val="20"/>
              </w:rPr>
              <w:t>Phase A Portal</w:t>
            </w:r>
          </w:p>
        </w:tc>
        <w:tc>
          <w:tcPr>
            <w:tcW w:type="dxa" w:w="4309"/>
            <w:vAlign w:val="top"/>
          </w:tcPr>
          <w:p>
            <w:r/>
            <w:r>
              <w:rPr>
                <w:rFonts w:ascii="Calibri" w:hAnsi="Calibri" w:cs="Calibri"/>
                <w:b w:val="0"/>
                <w:i w:val="0"/>
                <w:color w:val="0F172A"/>
                <w:sz w:val="20"/>
              </w:rPr>
              <w:t>File mgmt, public docs, feedback, monitor, exam wizard, AI service scaffold</w:t>
            </w:r>
          </w:p>
        </w:tc>
      </w:tr>
      <w:tr>
        <w:tc>
          <w:tcPr>
            <w:tcW w:type="dxa" w:w="1020"/>
            <w:vAlign w:val="top"/>
          </w:tcPr>
          <w:p>
            <w:r/>
            <w:r>
              <w:rPr>
                <w:rFonts w:ascii="Calibri" w:hAnsi="Calibri" w:cs="Calibri"/>
                <w:b w:val="0"/>
                <w:i w:val="0"/>
                <w:color w:val="0F172A"/>
                <w:sz w:val="20"/>
              </w:rPr>
              <w:t>7</w:t>
            </w:r>
          </w:p>
        </w:tc>
        <w:tc>
          <w:tcPr>
            <w:tcW w:type="dxa" w:w="1814"/>
            <w:vAlign w:val="top"/>
          </w:tcPr>
          <w:p>
            <w:r/>
            <w:r>
              <w:rPr>
                <w:rFonts w:ascii="Calibri" w:hAnsi="Calibri" w:cs="Calibri"/>
                <w:b w:val="0"/>
                <w:i w:val="0"/>
                <w:color w:val="0F172A"/>
                <w:sz w:val="20"/>
              </w:rPr>
              <w:t>2026-05-26 → 06-08</w:t>
            </w:r>
          </w:p>
        </w:tc>
        <w:tc>
          <w:tcPr>
            <w:tcW w:type="dxa" w:w="1928"/>
            <w:vAlign w:val="top"/>
          </w:tcPr>
          <w:p>
            <w:r/>
            <w:r>
              <w:rPr>
                <w:rFonts w:ascii="Calibri" w:hAnsi="Calibri" w:cs="Calibri"/>
                <w:b w:val="0"/>
                <w:i w:val="0"/>
                <w:color w:val="0F172A"/>
                <w:sz w:val="20"/>
              </w:rPr>
              <w:t>Tracking + first incident</w:t>
            </w:r>
          </w:p>
        </w:tc>
        <w:tc>
          <w:tcPr>
            <w:tcW w:type="dxa" w:w="4309"/>
            <w:vAlign w:val="top"/>
          </w:tcPr>
          <w:p>
            <w:r/>
            <w:r>
              <w:rPr>
                <w:rFonts w:ascii="Calibri" w:hAnsi="Calibri" w:cs="Calibri"/>
                <w:b w:val="0"/>
                <w:i w:val="0"/>
                <w:color w:val="0F172A"/>
                <w:sz w:val="20"/>
              </w:rPr>
              <w:t>BoT-SORT wired, phone_in_hand end-to-end with evidence upload</w:t>
            </w:r>
          </w:p>
        </w:tc>
      </w:tr>
      <w:tr>
        <w:tc>
          <w:tcPr>
            <w:tcW w:type="dxa" w:w="1020"/>
            <w:vAlign w:val="top"/>
          </w:tcPr>
          <w:p>
            <w:r/>
            <w:r>
              <w:rPr>
                <w:rFonts w:ascii="Calibri" w:hAnsi="Calibri" w:cs="Calibri"/>
                <w:b w:val="0"/>
                <w:i w:val="0"/>
                <w:color w:val="0F172A"/>
                <w:sz w:val="20"/>
              </w:rPr>
              <w:t>8</w:t>
            </w:r>
          </w:p>
        </w:tc>
        <w:tc>
          <w:tcPr>
            <w:tcW w:type="dxa" w:w="1814"/>
            <w:vAlign w:val="top"/>
          </w:tcPr>
          <w:p>
            <w:r/>
            <w:r>
              <w:rPr>
                <w:rFonts w:ascii="Calibri" w:hAnsi="Calibri" w:cs="Calibri"/>
                <w:b w:val="0"/>
                <w:i w:val="0"/>
                <w:color w:val="0F172A"/>
                <w:sz w:val="20"/>
              </w:rPr>
              <w:t>2026-06-09 → 06-22</w:t>
            </w:r>
          </w:p>
        </w:tc>
        <w:tc>
          <w:tcPr>
            <w:tcW w:type="dxa" w:w="1928"/>
            <w:vAlign w:val="top"/>
          </w:tcPr>
          <w:p>
            <w:r/>
            <w:r>
              <w:rPr>
                <w:rFonts w:ascii="Calibri" w:hAnsi="Calibri" w:cs="Calibri"/>
                <w:b w:val="0"/>
                <w:i w:val="0"/>
                <w:color w:val="0F172A"/>
                <w:sz w:val="20"/>
              </w:rPr>
              <w:t>FaceMesh + gaze</w:t>
            </w:r>
          </w:p>
        </w:tc>
        <w:tc>
          <w:tcPr>
            <w:tcW w:type="dxa" w:w="4309"/>
            <w:vAlign w:val="top"/>
          </w:tcPr>
          <w:p>
            <w:r/>
            <w:r>
              <w:rPr>
                <w:rFonts w:ascii="Calibri" w:hAnsi="Calibri" w:cs="Calibri"/>
                <w:b w:val="0"/>
                <w:i w:val="0"/>
                <w:color w:val="0F172A"/>
                <w:sz w:val="20"/>
              </w:rPr>
              <w:t>MediaPipe FaceMesh, gaze_diversion, head_turn, AI Fargate task sized up to 4 vCPU</w:t>
            </w:r>
          </w:p>
        </w:tc>
      </w:tr>
      <w:tr>
        <w:tc>
          <w:tcPr>
            <w:tcW w:type="dxa" w:w="1020"/>
            <w:vAlign w:val="top"/>
          </w:tcPr>
          <w:p>
            <w:r/>
            <w:r>
              <w:rPr>
                <w:rFonts w:ascii="Calibri" w:hAnsi="Calibri" w:cs="Calibri"/>
                <w:b w:val="0"/>
                <w:i w:val="0"/>
                <w:color w:val="0F172A"/>
                <w:sz w:val="20"/>
              </w:rPr>
              <w:t>9</w:t>
            </w:r>
          </w:p>
        </w:tc>
        <w:tc>
          <w:tcPr>
            <w:tcW w:type="dxa" w:w="1814"/>
            <w:vAlign w:val="top"/>
          </w:tcPr>
          <w:p>
            <w:r/>
            <w:r>
              <w:rPr>
                <w:rFonts w:ascii="Calibri" w:hAnsi="Calibri" w:cs="Calibri"/>
                <w:b w:val="0"/>
                <w:i w:val="0"/>
                <w:color w:val="0F172A"/>
                <w:sz w:val="20"/>
              </w:rPr>
              <w:t>2026-06-23 → 07-06</w:t>
            </w:r>
          </w:p>
        </w:tc>
        <w:tc>
          <w:tcPr>
            <w:tcW w:type="dxa" w:w="1928"/>
            <w:vAlign w:val="top"/>
          </w:tcPr>
          <w:p>
            <w:r/>
            <w:r>
              <w:rPr>
                <w:rFonts w:ascii="Calibri" w:hAnsi="Calibri" w:cs="Calibri"/>
                <w:b w:val="0"/>
                <w:i w:val="0"/>
                <w:color w:val="0F172A"/>
                <w:sz w:val="20"/>
              </w:rPr>
              <w:t>TIER-1 completion + calibration</w:t>
            </w:r>
          </w:p>
        </w:tc>
        <w:tc>
          <w:tcPr>
            <w:tcW w:type="dxa" w:w="4309"/>
            <w:vAlign w:val="top"/>
          </w:tcPr>
          <w:p>
            <w:r/>
            <w:r>
              <w:rPr>
                <w:rFonts w:ascii="Calibri" w:hAnsi="Calibri" w:cs="Calibri"/>
                <w:b w:val="0"/>
                <w:i w:val="0"/>
                <w:color w:val="0F172A"/>
                <w:sz w:val="20"/>
              </w:rPr>
              <w:t>empty_seat, paper_detected, AI-thresholds admin panel, ai_models table</w:t>
            </w:r>
          </w:p>
        </w:tc>
      </w:tr>
      <w:tr>
        <w:tc>
          <w:tcPr>
            <w:tcW w:type="dxa" w:w="1020"/>
            <w:vAlign w:val="top"/>
          </w:tcPr>
          <w:p>
            <w:r/>
            <w:r>
              <w:rPr>
                <w:rFonts w:ascii="Calibri" w:hAnsi="Calibri" w:cs="Calibri"/>
                <w:b w:val="0"/>
                <w:i w:val="0"/>
                <w:color w:val="0F172A"/>
                <w:sz w:val="20"/>
              </w:rPr>
              <w:t>10</w:t>
            </w:r>
          </w:p>
        </w:tc>
        <w:tc>
          <w:tcPr>
            <w:tcW w:type="dxa" w:w="1814"/>
            <w:vAlign w:val="top"/>
          </w:tcPr>
          <w:p>
            <w:r/>
            <w:r>
              <w:rPr>
                <w:rFonts w:ascii="Calibri" w:hAnsi="Calibri" w:cs="Calibri"/>
                <w:b w:val="0"/>
                <w:i w:val="0"/>
                <w:color w:val="0F172A"/>
                <w:sz w:val="20"/>
              </w:rPr>
              <w:t>2026-07-07 → 07-20</w:t>
            </w:r>
          </w:p>
        </w:tc>
        <w:tc>
          <w:tcPr>
            <w:tcW w:type="dxa" w:w="1928"/>
            <w:vAlign w:val="top"/>
          </w:tcPr>
          <w:p>
            <w:r/>
            <w:r>
              <w:rPr>
                <w:rFonts w:ascii="Calibri" w:hAnsi="Calibri" w:cs="Calibri"/>
                <w:b w:val="0"/>
                <w:i w:val="0"/>
                <w:color w:val="0F172A"/>
                <w:sz w:val="20"/>
              </w:rPr>
              <w:t>Student identity</w:t>
            </w:r>
          </w:p>
        </w:tc>
        <w:tc>
          <w:tcPr>
            <w:tcW w:type="dxa" w:w="4309"/>
            <w:vAlign w:val="top"/>
          </w:tcPr>
          <w:p>
            <w:r/>
            <w:r>
              <w:rPr>
                <w:rFonts w:ascii="Calibri" w:hAnsi="Calibri" w:cs="Calibri"/>
                <w:b w:val="0"/>
                <w:i w:val="0"/>
                <w:color w:val="0F172A"/>
                <w:sz w:val="20"/>
              </w:rPr>
              <w:t>pgvector + ArcFace embedding, track↔student matching, consent capture</w:t>
            </w:r>
          </w:p>
        </w:tc>
      </w:tr>
      <w:tr>
        <w:tc>
          <w:tcPr>
            <w:tcW w:type="dxa" w:w="1020"/>
            <w:vAlign w:val="top"/>
          </w:tcPr>
          <w:p>
            <w:r/>
            <w:r>
              <w:rPr>
                <w:rFonts w:ascii="Calibri" w:hAnsi="Calibri" w:cs="Calibri"/>
                <w:b w:val="0"/>
                <w:i w:val="0"/>
                <w:color w:val="0F172A"/>
                <w:sz w:val="20"/>
              </w:rPr>
              <w:t>11</w:t>
            </w:r>
          </w:p>
        </w:tc>
        <w:tc>
          <w:tcPr>
            <w:tcW w:type="dxa" w:w="1814"/>
            <w:vAlign w:val="top"/>
          </w:tcPr>
          <w:p>
            <w:r/>
            <w:r>
              <w:rPr>
                <w:rFonts w:ascii="Calibri" w:hAnsi="Calibri" w:cs="Calibri"/>
                <w:b w:val="0"/>
                <w:i w:val="0"/>
                <w:color w:val="0F172A"/>
                <w:sz w:val="20"/>
              </w:rPr>
              <w:t>2026-07-21 → 08-03</w:t>
            </w:r>
          </w:p>
        </w:tc>
        <w:tc>
          <w:tcPr>
            <w:tcW w:type="dxa" w:w="1928"/>
            <w:vAlign w:val="top"/>
          </w:tcPr>
          <w:p>
            <w:r/>
            <w:r>
              <w:rPr>
                <w:rFonts w:ascii="Calibri" w:hAnsi="Calibri" w:cs="Calibri"/>
                <w:b w:val="0"/>
                <w:i w:val="0"/>
                <w:color w:val="0F172A"/>
                <w:sz w:val="20"/>
              </w:rPr>
              <w:t>Profile + risk model</w:t>
            </w:r>
          </w:p>
        </w:tc>
        <w:tc>
          <w:tcPr>
            <w:tcW w:type="dxa" w:w="4309"/>
            <w:vAlign w:val="top"/>
          </w:tcPr>
          <w:p>
            <w:r/>
            <w:r>
              <w:rPr>
                <w:rFonts w:ascii="Calibri" w:hAnsi="Calibri" w:cs="Calibri"/>
                <w:b w:val="0"/>
                <w:i w:val="0"/>
                <w:color w:val="0F172A"/>
                <w:sz w:val="20"/>
              </w:rPr>
              <w:t>Per-student risk score cache, behavioural pattern detection, /students/[id]</w:t>
            </w:r>
          </w:p>
        </w:tc>
      </w:tr>
      <w:tr>
        <w:tc>
          <w:tcPr>
            <w:tcW w:type="dxa" w:w="1020"/>
            <w:vAlign w:val="top"/>
          </w:tcPr>
          <w:p>
            <w:r/>
            <w:r>
              <w:rPr>
                <w:rFonts w:ascii="Calibri" w:hAnsi="Calibri" w:cs="Calibri"/>
                <w:b w:val="0"/>
                <w:i w:val="0"/>
                <w:color w:val="0F172A"/>
                <w:sz w:val="20"/>
              </w:rPr>
              <w:t>12</w:t>
            </w:r>
          </w:p>
        </w:tc>
        <w:tc>
          <w:tcPr>
            <w:tcW w:type="dxa" w:w="1814"/>
            <w:vAlign w:val="top"/>
          </w:tcPr>
          <w:p>
            <w:r/>
            <w:r>
              <w:rPr>
                <w:rFonts w:ascii="Calibri" w:hAnsi="Calibri" w:cs="Calibri"/>
                <w:b w:val="0"/>
                <w:i w:val="0"/>
                <w:color w:val="0F172A"/>
                <w:sz w:val="20"/>
              </w:rPr>
              <w:t>2026-08-04 → 08-17</w:t>
            </w:r>
          </w:p>
        </w:tc>
        <w:tc>
          <w:tcPr>
            <w:tcW w:type="dxa" w:w="1928"/>
            <w:vAlign w:val="top"/>
          </w:tcPr>
          <w:p>
            <w:r/>
            <w:r>
              <w:rPr>
                <w:rFonts w:ascii="Calibri" w:hAnsi="Calibri" w:cs="Calibri"/>
                <w:b w:val="0"/>
                <w:i w:val="0"/>
                <w:color w:val="0F172A"/>
                <w:sz w:val="20"/>
              </w:rPr>
              <w:t>Post-exam review</w:t>
            </w:r>
          </w:p>
        </w:tc>
        <w:tc>
          <w:tcPr>
            <w:tcW w:type="dxa" w:w="4309"/>
            <w:vAlign w:val="top"/>
          </w:tcPr>
          <w:p>
            <w:r/>
            <w:r>
              <w:rPr>
                <w:rFonts w:ascii="Calibri" w:hAnsi="Calibri" w:cs="Calibri"/>
                <w:b w:val="0"/>
                <w:i w:val="0"/>
                <w:color w:val="0F172A"/>
                <w:sz w:val="20"/>
              </w:rPr>
              <w:t>Decision modal (clean/suspicious/violation), evidence preview, ±15 s clip strip, PDF report</w:t>
            </w:r>
          </w:p>
        </w:tc>
      </w:tr>
      <w:tr>
        <w:tc>
          <w:tcPr>
            <w:tcW w:type="dxa" w:w="1020"/>
            <w:vAlign w:val="top"/>
          </w:tcPr>
          <w:p>
            <w:r/>
            <w:r>
              <w:rPr>
                <w:rFonts w:ascii="Calibri" w:hAnsi="Calibri" w:cs="Calibri"/>
                <w:b w:val="0"/>
                <w:i w:val="0"/>
                <w:color w:val="0F172A"/>
                <w:sz w:val="20"/>
              </w:rPr>
              <w:t>13</w:t>
            </w:r>
          </w:p>
        </w:tc>
        <w:tc>
          <w:tcPr>
            <w:tcW w:type="dxa" w:w="1814"/>
            <w:vAlign w:val="top"/>
          </w:tcPr>
          <w:p>
            <w:r/>
            <w:r>
              <w:rPr>
                <w:rFonts w:ascii="Calibri" w:hAnsi="Calibri" w:cs="Calibri"/>
                <w:b w:val="0"/>
                <w:i w:val="0"/>
                <w:color w:val="0F172A"/>
                <w:sz w:val="20"/>
              </w:rPr>
              <w:t>2026-08-18 → 08-31</w:t>
            </w:r>
          </w:p>
        </w:tc>
        <w:tc>
          <w:tcPr>
            <w:tcW w:type="dxa" w:w="1928"/>
            <w:vAlign w:val="top"/>
          </w:tcPr>
          <w:p>
            <w:r/>
            <w:r>
              <w:rPr>
                <w:rFonts w:ascii="Calibri" w:hAnsi="Calibri" w:cs="Calibri"/>
                <w:b w:val="0"/>
                <w:i w:val="0"/>
                <w:color w:val="0F172A"/>
                <w:sz w:val="20"/>
              </w:rPr>
              <w:t>Live pipeline reliability</w:t>
            </w:r>
          </w:p>
        </w:tc>
        <w:tc>
          <w:tcPr>
            <w:tcW w:type="dxa" w:w="4309"/>
            <w:vAlign w:val="top"/>
          </w:tcPr>
          <w:p>
            <w:r/>
            <w:r>
              <w:rPr>
                <w:rFonts w:ascii="Calibri" w:hAnsi="Calibri" w:cs="Calibri"/>
                <w:b w:val="0"/>
                <w:i w:val="0"/>
                <w:color w:val="0F172A"/>
                <w:sz w:val="20"/>
              </w:rPr>
              <w:t>Auto-reconnect, telemetry events, ECS deploy stabilisation</w:t>
            </w:r>
          </w:p>
        </w:tc>
      </w:tr>
      <w:tr>
        <w:tc>
          <w:tcPr>
            <w:tcW w:type="dxa" w:w="1020"/>
            <w:vAlign w:val="top"/>
          </w:tcPr>
          <w:p>
            <w:r/>
            <w:r>
              <w:rPr>
                <w:rFonts w:ascii="Calibri" w:hAnsi="Calibri" w:cs="Calibri"/>
                <w:b w:val="0"/>
                <w:i w:val="0"/>
                <w:color w:val="0F172A"/>
                <w:sz w:val="20"/>
              </w:rPr>
              <w:t>14</w:t>
            </w:r>
          </w:p>
        </w:tc>
        <w:tc>
          <w:tcPr>
            <w:tcW w:type="dxa" w:w="1814"/>
            <w:vAlign w:val="top"/>
          </w:tcPr>
          <w:p>
            <w:r/>
            <w:r>
              <w:rPr>
                <w:rFonts w:ascii="Calibri" w:hAnsi="Calibri" w:cs="Calibri"/>
                <w:b w:val="0"/>
                <w:i w:val="0"/>
                <w:color w:val="0F172A"/>
                <w:sz w:val="20"/>
              </w:rPr>
              <w:t>2026-09 → 2026-10</w:t>
            </w:r>
          </w:p>
        </w:tc>
        <w:tc>
          <w:tcPr>
            <w:tcW w:type="dxa" w:w="1928"/>
            <w:vAlign w:val="top"/>
          </w:tcPr>
          <w:p>
            <w:r/>
            <w:r>
              <w:rPr>
                <w:rFonts w:ascii="Calibri" w:hAnsi="Calibri" w:cs="Calibri"/>
                <w:b w:val="0"/>
                <w:i w:val="0"/>
                <w:color w:val="0F172A"/>
                <w:sz w:val="20"/>
              </w:rPr>
              <w:t>Dataset pipeline foundation</w:t>
            </w:r>
          </w:p>
        </w:tc>
        <w:tc>
          <w:tcPr>
            <w:tcW w:type="dxa" w:w="4309"/>
            <w:vAlign w:val="top"/>
          </w:tcPr>
          <w:p>
            <w:r/>
            <w:r>
              <w:rPr>
                <w:rFonts w:ascii="Calibri" w:hAnsi="Calibri" w:cs="Calibri"/>
                <w:b w:val="0"/>
                <w:i w:val="0"/>
                <w:color w:val="0F172A"/>
                <w:sz w:val="20"/>
              </w:rPr>
              <w:t>Roboflow import, dataset_validate, internal_training_samples</w:t>
            </w:r>
          </w:p>
        </w:tc>
      </w:tr>
      <w:tr>
        <w:tc>
          <w:tcPr>
            <w:tcW w:type="dxa" w:w="1020"/>
            <w:vAlign w:val="top"/>
          </w:tcPr>
          <w:p>
            <w:r/>
            <w:r>
              <w:rPr>
                <w:rFonts w:ascii="Calibri" w:hAnsi="Calibri" w:cs="Calibri"/>
                <w:b w:val="0"/>
                <w:i w:val="0"/>
                <w:color w:val="0F172A"/>
                <w:sz w:val="20"/>
              </w:rPr>
              <w:t>15–16</w:t>
            </w:r>
          </w:p>
        </w:tc>
        <w:tc>
          <w:tcPr>
            <w:tcW w:type="dxa" w:w="1814"/>
            <w:vAlign w:val="top"/>
          </w:tcPr>
          <w:p>
            <w:r/>
            <w:r>
              <w:rPr>
                <w:rFonts w:ascii="Calibri" w:hAnsi="Calibri" w:cs="Calibri"/>
                <w:b w:val="0"/>
                <w:i w:val="0"/>
                <w:color w:val="0F172A"/>
                <w:sz w:val="20"/>
              </w:rPr>
              <w:t>2026-10 → 2026-11</w:t>
            </w:r>
          </w:p>
        </w:tc>
        <w:tc>
          <w:tcPr>
            <w:tcW w:type="dxa" w:w="1928"/>
            <w:vAlign w:val="top"/>
          </w:tcPr>
          <w:p>
            <w:r/>
            <w:r>
              <w:rPr>
                <w:rFonts w:ascii="Calibri" w:hAnsi="Calibri" w:cs="Calibri"/>
                <w:b w:val="0"/>
                <w:i w:val="0"/>
                <w:color w:val="0F172A"/>
                <w:sz w:val="20"/>
              </w:rPr>
              <w:t>Custom YOLO training</w:t>
            </w:r>
          </w:p>
        </w:tc>
        <w:tc>
          <w:tcPr>
            <w:tcW w:type="dxa" w:w="4309"/>
            <w:vAlign w:val="top"/>
          </w:tcPr>
          <w:p>
            <w:r/>
            <w:r>
              <w:rPr>
                <w:rFonts w:ascii="Calibri" w:hAnsi="Calibri" w:cs="Calibri"/>
                <w:b w:val="0"/>
                <w:i w:val="0"/>
                <w:color w:val="0F172A"/>
                <w:sz w:val="20"/>
              </w:rPr>
              <w:t>phone/earbuds/smartwatch + paper_notes/pencil_case/calculator classes; fine-tune script</w:t>
            </w:r>
          </w:p>
        </w:tc>
      </w:tr>
      <w:tr>
        <w:tc>
          <w:tcPr>
            <w:tcW w:type="dxa" w:w="1020"/>
            <w:vAlign w:val="top"/>
          </w:tcPr>
          <w:p>
            <w:r/>
            <w:r>
              <w:rPr>
                <w:rFonts w:ascii="Calibri" w:hAnsi="Calibri" w:cs="Calibri"/>
                <w:b w:val="0"/>
                <w:i w:val="0"/>
                <w:color w:val="0F172A"/>
                <w:sz w:val="20"/>
              </w:rPr>
              <w:t>17</w:t>
            </w:r>
          </w:p>
        </w:tc>
        <w:tc>
          <w:tcPr>
            <w:tcW w:type="dxa" w:w="1814"/>
            <w:vAlign w:val="top"/>
          </w:tcPr>
          <w:p>
            <w:r/>
            <w:r>
              <w:rPr>
                <w:rFonts w:ascii="Calibri" w:hAnsi="Calibri" w:cs="Calibri"/>
                <w:b w:val="0"/>
                <w:i w:val="0"/>
                <w:color w:val="0F172A"/>
                <w:sz w:val="20"/>
              </w:rPr>
              <w:t>2026-11 → 2026-12</w:t>
            </w:r>
          </w:p>
        </w:tc>
        <w:tc>
          <w:tcPr>
            <w:tcW w:type="dxa" w:w="1928"/>
            <w:vAlign w:val="top"/>
          </w:tcPr>
          <w:p>
            <w:r/>
            <w:r>
              <w:rPr>
                <w:rFonts w:ascii="Calibri" w:hAnsi="Calibri" w:cs="Calibri"/>
                <w:b w:val="0"/>
                <w:i w:val="0"/>
                <w:color w:val="0F172A"/>
                <w:sz w:val="20"/>
              </w:rPr>
              <w:t>Pose + behaviour rules</w:t>
            </w:r>
          </w:p>
        </w:tc>
        <w:tc>
          <w:tcPr>
            <w:tcW w:type="dxa" w:w="4309"/>
            <w:vAlign w:val="top"/>
          </w:tcPr>
          <w:p>
            <w:r/>
            <w:r>
              <w:rPr>
                <w:rFonts w:ascii="Calibri" w:hAnsi="Calibri" w:cs="Calibri"/>
                <w:b w:val="0"/>
                <w:i w:val="0"/>
                <w:color w:val="0F172A"/>
                <w:sz w:val="20"/>
              </w:rPr>
              <w:t>Body-lean, hand-under-desk, gaze-at-lap, gaze-at-neighbor, object_passing, synchronized_behavior, standing_up, hand_to_ear_mouth</w:t>
            </w:r>
          </w:p>
        </w:tc>
      </w:tr>
      <w:tr>
        <w:tc>
          <w:tcPr>
            <w:tcW w:type="dxa" w:w="1020"/>
            <w:vAlign w:val="top"/>
          </w:tcPr>
          <w:p>
            <w:r/>
            <w:r>
              <w:rPr>
                <w:rFonts w:ascii="Calibri" w:hAnsi="Calibri" w:cs="Calibri"/>
                <w:b w:val="0"/>
                <w:i w:val="0"/>
                <w:color w:val="0F172A"/>
                <w:sz w:val="20"/>
              </w:rPr>
              <w:t>18</w:t>
            </w:r>
          </w:p>
        </w:tc>
        <w:tc>
          <w:tcPr>
            <w:tcW w:type="dxa" w:w="1814"/>
            <w:vAlign w:val="top"/>
          </w:tcPr>
          <w:p>
            <w:r/>
            <w:r>
              <w:rPr>
                <w:rFonts w:ascii="Calibri" w:hAnsi="Calibri" w:cs="Calibri"/>
                <w:b w:val="0"/>
                <w:i w:val="0"/>
                <w:color w:val="0F172A"/>
                <w:sz w:val="20"/>
              </w:rPr>
              <w:t>2026-12 → 2026-05-13</w:t>
            </w:r>
          </w:p>
        </w:tc>
        <w:tc>
          <w:tcPr>
            <w:tcW w:type="dxa" w:w="1928"/>
            <w:vAlign w:val="top"/>
          </w:tcPr>
          <w:p>
            <w:r/>
            <w:r>
              <w:rPr>
                <w:rFonts w:ascii="Calibri" w:hAnsi="Calibri" w:cs="Calibri"/>
                <w:b w:val="0"/>
                <w:i w:val="0"/>
                <w:color w:val="0F172A"/>
                <w:sz w:val="20"/>
              </w:rPr>
              <w:t>Multi-cam + face covering</w:t>
            </w:r>
          </w:p>
        </w:tc>
        <w:tc>
          <w:tcPr>
            <w:tcW w:type="dxa" w:w="4309"/>
            <w:vAlign w:val="top"/>
          </w:tcPr>
          <w:p>
            <w:r/>
            <w:r>
              <w:rPr>
                <w:rFonts w:ascii="Calibri" w:hAnsi="Calibri" w:cs="Calibri"/>
                <w:b w:val="0"/>
                <w:i w:val="0"/>
                <w:color w:val="0F172A"/>
                <w:sz w:val="20"/>
              </w:rPr>
              <w:t>Cross-camera person matcher, body re-id (OSNet), face_covering rule, worker pool</w:t>
            </w:r>
          </w:p>
        </w:tc>
      </w:tr>
    </w:tbl>
    <w:p>
      <w:pPr>
        <w:pStyle w:val="Heading2"/>
      </w:pPr>
      <w:r>
        <w:rPr>
          <w:rFonts w:ascii="Calibri" w:hAnsi="Calibri" w:cs="Calibri"/>
          <w:b/>
          <w:i w:val="0"/>
          <w:color w:val="8C2A1F"/>
          <w:sz w:val="28"/>
        </w:rPr>
        <w:t>4.2 Engineering Workflow</w:t>
      </w:r>
    </w:p>
    <w:p>
      <w:pPr>
        <w:pStyle w:val="ListBullet"/>
        <w:spacing w:after="60"/>
      </w:pPr>
      <w:r>
        <w:rPr>
          <w:rFonts w:ascii="Calibri" w:hAnsi="Calibri" w:cs="Calibri"/>
          <w:b w:val="0"/>
          <w:i w:val="0"/>
          <w:color w:val="0F172A"/>
          <w:sz w:val="21"/>
        </w:rPr>
        <w:t>Twenty-two product requirement documents (PRD-000 through PRD-021) with versioned interface contracts. A pre-commit hook (scripts/validate-prd-interfaces.js) blocks commits when an interface @version in a consumer PRD does not match the master matrix.</w:t>
      </w:r>
    </w:p>
    <w:p>
      <w:pPr>
        <w:pStyle w:val="ListBullet"/>
        <w:spacing w:after="60"/>
      </w:pPr>
      <w:r>
        <w:rPr>
          <w:rFonts w:ascii="Calibri" w:hAnsi="Calibri" w:cs="Calibri"/>
          <w:b w:val="0"/>
          <w:i w:val="0"/>
          <w:color w:val="0F172A"/>
          <w:sz w:val="21"/>
        </w:rPr>
        <w:t>Sprint board with dependency enforcement (a blocker that is not “done” prevents its dependant from advancing) and a code-review workflow that requires a BacklogReview row before status=“done”.</w:t>
      </w:r>
    </w:p>
    <w:p>
      <w:pPr>
        <w:pStyle w:val="ListBullet"/>
        <w:spacing w:after="60"/>
      </w:pPr>
      <w:r>
        <w:rPr>
          <w:rFonts w:ascii="Calibri" w:hAnsi="Calibri" w:cs="Calibri"/>
          <w:b w:val="0"/>
          <w:i w:val="0"/>
          <w:color w:val="0F172A"/>
          <w:sz w:val="21"/>
        </w:rPr>
        <w:t>GitHub Actions ci.yml gates: secrets scan, large-file scan, env-var consistency check, PRD interface validation, ESLint, TypeScript, Vitest (unit + integration with a real Supabase), Playwright E2E, Next.js build.</w:t>
      </w:r>
    </w:p>
    <w:p>
      <w:pPr>
        <w:pStyle w:val="ListBullet"/>
        <w:spacing w:after="60"/>
      </w:pPr>
      <w:r>
        <w:rPr>
          <w:rFonts w:ascii="Calibri" w:hAnsi="Calibri" w:cs="Calibri"/>
          <w:b w:val="0"/>
          <w:i w:val="0"/>
          <w:color w:val="0F172A"/>
          <w:sz w:val="21"/>
        </w:rPr>
        <w:t>Conventional Commits + signed branches; main and develop are protected.</w:t>
      </w:r>
    </w:p>
    <w:p>
      <w:pPr>
        <w:pStyle w:val="Heading2"/>
      </w:pPr>
      <w:r>
        <w:rPr>
          <w:rFonts w:ascii="Calibri" w:hAnsi="Calibri" w:cs="Calibri"/>
          <w:b/>
          <w:i w:val="0"/>
          <w:color w:val="8C2A1F"/>
          <w:sz w:val="28"/>
        </w:rPr>
        <w:t>4.3 Notable Engineering Trade-offs</w:t>
      </w:r>
    </w:p>
    <w:p>
      <w:pPr>
        <w:spacing w:after="120" w:line="300" w:lineRule="auto"/>
      </w:pPr>
      <w:r>
        <w:rPr>
          <w:rFonts w:ascii="Calibri" w:hAnsi="Calibri" w:cs="Calibri"/>
          <w:b w:val="0"/>
          <w:i w:val="0"/>
          <w:color w:val="0F172A"/>
          <w:sz w:val="22"/>
        </w:rPr>
        <w:t>Three trade-offs deserve emphasis because they diverge from the HLD plan submitted at the end of CMPE 491.</w:t>
      </w:r>
    </w:p>
    <w:tbl>
      <w:tblPr>
        <w:tblStyle w:val="LightGrid-Accent1"/>
        <w:tblW w:type="auto" w:w="0"/>
        <w:tblLook w:firstColumn="1" w:firstRow="1" w:lastColumn="0" w:lastRow="0" w:noHBand="0" w:noVBand="1" w:val="04A0"/>
      </w:tblPr>
      <w:tblGrid>
        <w:gridCol w:w="3024"/>
        <w:gridCol w:w="3024"/>
        <w:gridCol w:w="3024"/>
      </w:tblGrid>
      <w:tr>
        <w:tc>
          <w:tcPr>
            <w:tcW w:type="dxa" w:w="2551"/>
            <w:shd w:fill="C0392B"/>
          </w:tcPr>
          <w:p>
            <w:r/>
            <w:r>
              <w:rPr>
                <w:rFonts w:ascii="Calibri" w:hAnsi="Calibri" w:cs="Calibri"/>
                <w:b/>
                <w:i w:val="0"/>
                <w:color w:val="FFFFFF"/>
                <w:sz w:val="21"/>
              </w:rPr>
              <w:t>HLD plan (CMPE 491)</w:t>
            </w:r>
          </w:p>
        </w:tc>
        <w:tc>
          <w:tcPr>
            <w:tcW w:type="dxa" w:w="2835"/>
            <w:shd w:fill="C0392B"/>
          </w:tcPr>
          <w:p>
            <w:r/>
            <w:r>
              <w:rPr>
                <w:rFonts w:ascii="Calibri" w:hAnsi="Calibri" w:cs="Calibri"/>
                <w:b/>
                <w:i w:val="0"/>
                <w:color w:val="FFFFFF"/>
                <w:sz w:val="21"/>
              </w:rPr>
              <w:t>Final implementation</w:t>
            </w:r>
          </w:p>
        </w:tc>
        <w:tc>
          <w:tcPr>
            <w:tcW w:type="dxa" w:w="3685"/>
            <w:shd w:fill="C0392B"/>
          </w:tcPr>
          <w:p>
            <w:r/>
            <w:r>
              <w:rPr>
                <w:rFonts w:ascii="Calibri" w:hAnsi="Calibri" w:cs="Calibri"/>
                <w:b/>
                <w:i w:val="0"/>
                <w:color w:val="FFFFFF"/>
                <w:sz w:val="21"/>
              </w:rPr>
              <w:t>Why it changed</w:t>
            </w:r>
          </w:p>
        </w:tc>
      </w:tr>
      <w:tr>
        <w:tc>
          <w:tcPr>
            <w:tcW w:type="dxa" w:w="2551"/>
            <w:vAlign w:val="top"/>
          </w:tcPr>
          <w:p>
            <w:r/>
            <w:r>
              <w:rPr>
                <w:rFonts w:ascii="Calibri" w:hAnsi="Calibri" w:cs="Calibri"/>
                <w:b w:val="0"/>
                <w:i w:val="0"/>
                <w:color w:val="0F172A"/>
                <w:sz w:val="20"/>
              </w:rPr>
              <w:t>TensorFlow LSTM/GRU behavioural model</w:t>
            </w:r>
          </w:p>
        </w:tc>
        <w:tc>
          <w:tcPr>
            <w:tcW w:type="dxa" w:w="2835"/>
            <w:vAlign w:val="top"/>
          </w:tcPr>
          <w:p>
            <w:r/>
            <w:r>
              <w:rPr>
                <w:rFonts w:ascii="Calibri" w:hAnsi="Calibri" w:cs="Calibri"/>
                <w:b w:val="0"/>
                <w:i w:val="0"/>
                <w:color w:val="0F172A"/>
                <w:sz w:val="20"/>
              </w:rPr>
              <w:t>Rule engine of 16 explainable rules with temporal windows; LSTM deferred to Phase C</w:t>
            </w:r>
          </w:p>
        </w:tc>
        <w:tc>
          <w:tcPr>
            <w:tcW w:type="dxa" w:w="3685"/>
            <w:vAlign w:val="top"/>
          </w:tcPr>
          <w:p>
            <w:r/>
            <w:r>
              <w:rPr>
                <w:rFonts w:ascii="Calibri" w:hAnsi="Calibri" w:cs="Calibri"/>
                <w:b w:val="0"/>
                <w:i w:val="0"/>
                <w:color w:val="0F172A"/>
                <w:sz w:val="20"/>
              </w:rPr>
              <w:t>No training data existed at the start of Phase A; rule engine is auditable, can be tuned per classroom, and is the basis for the eventual LSTM training labels</w:t>
            </w:r>
          </w:p>
        </w:tc>
      </w:tr>
      <w:tr>
        <w:tc>
          <w:tcPr>
            <w:tcW w:type="dxa" w:w="2551"/>
            <w:vAlign w:val="top"/>
          </w:tcPr>
          <w:p>
            <w:r/>
            <w:r>
              <w:rPr>
                <w:rFonts w:ascii="Calibri" w:hAnsi="Calibri" w:cs="Calibri"/>
                <w:b w:val="0"/>
                <w:i w:val="0"/>
                <w:color w:val="0F172A"/>
                <w:sz w:val="20"/>
              </w:rPr>
              <w:t>Redis cache for real-time state</w:t>
            </w:r>
          </w:p>
        </w:tc>
        <w:tc>
          <w:tcPr>
            <w:tcW w:type="dxa" w:w="2835"/>
            <w:vAlign w:val="top"/>
          </w:tcPr>
          <w:p>
            <w:r/>
            <w:r>
              <w:rPr>
                <w:rFonts w:ascii="Calibri" w:hAnsi="Calibri" w:cs="Calibri"/>
                <w:b w:val="0"/>
                <w:i w:val="0"/>
                <w:color w:val="0F172A"/>
                <w:sz w:val="20"/>
              </w:rPr>
              <w:t>In-memory session state + Postgres with NOTIFY for ordered fan-out; pgvector for embeddings</w:t>
            </w:r>
          </w:p>
        </w:tc>
        <w:tc>
          <w:tcPr>
            <w:tcW w:type="dxa" w:w="3685"/>
            <w:vAlign w:val="top"/>
          </w:tcPr>
          <w:p>
            <w:r/>
            <w:r>
              <w:rPr>
                <w:rFonts w:ascii="Calibri" w:hAnsi="Calibri" w:cs="Calibri"/>
                <w:b w:val="0"/>
                <w:i w:val="0"/>
                <w:color w:val="0F172A"/>
                <w:sz w:val="20"/>
              </w:rPr>
              <w:t>Redis added an operational dependency we did not need at Phase A scale; Postgres realtime was sufficient at the FPS we run</w:t>
            </w:r>
          </w:p>
        </w:tc>
      </w:tr>
      <w:tr>
        <w:tc>
          <w:tcPr>
            <w:tcW w:type="dxa" w:w="2551"/>
            <w:vAlign w:val="top"/>
          </w:tcPr>
          <w:p>
            <w:r/>
            <w:r>
              <w:rPr>
                <w:rFonts w:ascii="Calibri" w:hAnsi="Calibri" w:cs="Calibri"/>
                <w:b w:val="0"/>
                <w:i w:val="0"/>
                <w:color w:val="0F172A"/>
                <w:sz w:val="20"/>
              </w:rPr>
              <w:t>Dedicated GPU server (separate machine)</w:t>
            </w:r>
          </w:p>
        </w:tc>
        <w:tc>
          <w:tcPr>
            <w:tcW w:type="dxa" w:w="2835"/>
            <w:vAlign w:val="top"/>
          </w:tcPr>
          <w:p>
            <w:r/>
            <w:r>
              <w:rPr>
                <w:rFonts w:ascii="Calibri" w:hAnsi="Calibri" w:cs="Calibri"/>
                <w:b w:val="0"/>
                <w:i w:val="0"/>
                <w:color w:val="0F172A"/>
                <w:sz w:val="20"/>
              </w:rPr>
              <w:t>CPU-only Fargate task at 4 vCPU / 8 GiB</w:t>
            </w:r>
          </w:p>
        </w:tc>
        <w:tc>
          <w:tcPr>
            <w:tcW w:type="dxa" w:w="3685"/>
            <w:vAlign w:val="top"/>
          </w:tcPr>
          <w:p>
            <w:r/>
            <w:r>
              <w:rPr>
                <w:rFonts w:ascii="Calibri" w:hAnsi="Calibri" w:cs="Calibri"/>
                <w:b w:val="0"/>
                <w:i w:val="0"/>
                <w:color w:val="0F172A"/>
                <w:sz w:val="20"/>
              </w:rPr>
              <w:t>YOLOv8n + selective MediaPipe runs at ~28 % CPU with margin; CPU-only deployment removed the single most expensive line item</w:t>
            </w:r>
          </w:p>
        </w:tc>
      </w:tr>
      <w:tr>
        <w:tc>
          <w:tcPr>
            <w:tcW w:type="dxa" w:w="2551"/>
            <w:vAlign w:val="top"/>
          </w:tcPr>
          <w:p>
            <w:r/>
            <w:r>
              <w:rPr>
                <w:rFonts w:ascii="Calibri" w:hAnsi="Calibri" w:cs="Calibri"/>
                <w:b w:val="0"/>
                <w:i w:val="0"/>
                <w:color w:val="0F172A"/>
                <w:sz w:val="20"/>
              </w:rPr>
              <w:t>React or Vue (TBD)</w:t>
            </w:r>
          </w:p>
        </w:tc>
        <w:tc>
          <w:tcPr>
            <w:tcW w:type="dxa" w:w="2835"/>
            <w:vAlign w:val="top"/>
          </w:tcPr>
          <w:p>
            <w:r/>
            <w:r>
              <w:rPr>
                <w:rFonts w:ascii="Calibri" w:hAnsi="Calibri" w:cs="Calibri"/>
                <w:b w:val="0"/>
                <w:i w:val="0"/>
                <w:color w:val="0F172A"/>
                <w:sz w:val="20"/>
              </w:rPr>
              <w:t>Next.js 16.1.7 + React 19.2.3</w:t>
            </w:r>
          </w:p>
        </w:tc>
        <w:tc>
          <w:tcPr>
            <w:tcW w:type="dxa" w:w="3685"/>
            <w:vAlign w:val="top"/>
          </w:tcPr>
          <w:p>
            <w:r/>
            <w:r>
              <w:rPr>
                <w:rFonts w:ascii="Calibri" w:hAnsi="Calibri" w:cs="Calibri"/>
                <w:b w:val="0"/>
                <w:i w:val="0"/>
                <w:color w:val="0F172A"/>
                <w:sz w:val="20"/>
              </w:rPr>
              <w:t>App Router + React Server Components removed the need for a separate backend service for portal concerns; one team, one build pipeline</w:t>
            </w:r>
          </w:p>
        </w:tc>
      </w:tr>
      <w:tr>
        <w:tc>
          <w:tcPr>
            <w:tcW w:type="dxa" w:w="2551"/>
            <w:vAlign w:val="top"/>
          </w:tcPr>
          <w:p>
            <w:r/>
            <w:r>
              <w:rPr>
                <w:rFonts w:ascii="Calibri" w:hAnsi="Calibri" w:cs="Calibri"/>
                <w:b w:val="0"/>
                <w:i w:val="0"/>
                <w:color w:val="0F172A"/>
                <w:sz w:val="20"/>
              </w:rPr>
              <w:t>Two-actor model (Admin, Supervisor)</w:t>
            </w:r>
          </w:p>
        </w:tc>
        <w:tc>
          <w:tcPr>
            <w:tcW w:type="dxa" w:w="2835"/>
            <w:vAlign w:val="top"/>
          </w:tcPr>
          <w:p>
            <w:r/>
            <w:r>
              <w:rPr>
                <w:rFonts w:ascii="Calibri" w:hAnsi="Calibri" w:cs="Calibri"/>
                <w:b w:val="0"/>
                <w:i w:val="0"/>
                <w:color w:val="0F172A"/>
                <w:sz w:val="20"/>
              </w:rPr>
              <w:t>Four roles (admin, supervisor, assistant, guest) and a row-level-security policy per resource</w:t>
            </w:r>
          </w:p>
        </w:tc>
        <w:tc>
          <w:tcPr>
            <w:tcW w:type="dxa" w:w="3685"/>
            <w:vAlign w:val="top"/>
          </w:tcPr>
          <w:p>
            <w:r/>
            <w:r>
              <w:rPr>
                <w:rFonts w:ascii="Calibri" w:hAnsi="Calibri" w:cs="Calibri"/>
                <w:b w:val="0"/>
                <w:i w:val="0"/>
                <w:color w:val="0F172A"/>
                <w:sz w:val="20"/>
              </w:rPr>
              <w:t>Real usage revealed asymmetric needs — teaching assistants view but cannot annotate; guests need URL-only access for the public docs hub</w:t>
            </w:r>
          </w:p>
        </w:tc>
      </w:tr>
      <w:tr>
        <w:tc>
          <w:tcPr>
            <w:tcW w:type="dxa" w:w="2551"/>
            <w:vAlign w:val="top"/>
          </w:tcPr>
          <w:p>
            <w:r/>
            <w:r>
              <w:rPr>
                <w:rFonts w:ascii="Calibri" w:hAnsi="Calibri" w:cs="Calibri"/>
                <w:b w:val="0"/>
                <w:i w:val="0"/>
                <w:color w:val="0F172A"/>
                <w:sz w:val="20"/>
              </w:rPr>
              <w:t>WebRTC + RTSP for stream ingestion</w:t>
            </w:r>
          </w:p>
        </w:tc>
        <w:tc>
          <w:tcPr>
            <w:tcW w:type="dxa" w:w="2835"/>
            <w:vAlign w:val="top"/>
          </w:tcPr>
          <w:p>
            <w:r/>
            <w:r>
              <w:rPr>
                <w:rFonts w:ascii="Calibri" w:hAnsi="Calibri" w:cs="Calibri"/>
                <w:b w:val="0"/>
                <w:i w:val="0"/>
                <w:color w:val="0F172A"/>
                <w:sz w:val="20"/>
              </w:rPr>
              <w:t>WebSocket-only — frames published as JPEG bytes</w:t>
            </w:r>
          </w:p>
        </w:tc>
        <w:tc>
          <w:tcPr>
            <w:tcW w:type="dxa" w:w="3685"/>
            <w:vAlign w:val="top"/>
          </w:tcPr>
          <w:p>
            <w:r/>
            <w:r>
              <w:rPr>
                <w:rFonts w:ascii="Calibri" w:hAnsi="Calibri" w:cs="Calibri"/>
                <w:b w:val="0"/>
                <w:i w:val="0"/>
                <w:color w:val="0F172A"/>
                <w:sz w:val="20"/>
              </w:rPr>
              <w:t>Telephones-as-cameras (BL-310–320) required a client that could not be guaranteed to ship a WebRTC stack; a single transport simplified auto-reconnect</w:t>
            </w:r>
          </w:p>
        </w:tc>
      </w:tr>
    </w:tbl>
    <w:p>
      <w:r>
        <w:br w:type="page"/>
      </w:r>
    </w:p>
    <w:p>
      <w:pPr>
        <w:pStyle w:val="Heading1"/>
      </w:pPr>
      <w:r>
        <w:rPr>
          <w:rFonts w:ascii="Calibri" w:hAnsi="Calibri" w:cs="Calibri"/>
          <w:b/>
          <w:i w:val="0"/>
          <w:color w:val="8C2A1F"/>
          <w:sz w:val="36"/>
        </w:rPr>
        <w:t>5. New Tools and Technologies</w:t>
      </w:r>
    </w:p>
    <w:p>
      <w:pPr>
        <w:spacing w:after="120" w:line="300" w:lineRule="auto"/>
      </w:pPr>
      <w:r>
        <w:rPr>
          <w:rFonts w:ascii="Calibri" w:hAnsi="Calibri" w:cs="Calibri"/>
          <w:b w:val="0"/>
          <w:i w:val="0"/>
          <w:color w:val="0F172A"/>
          <w:sz w:val="22"/>
        </w:rPr>
        <w:t>The syllabus (CMPE 492 §3.6.3, grade item c) expects an explicit accounting of new tools and technologies introduced during the project. The team adopted each of the following between February 2026 and May 2026; “new” here means “not used by any member in a previous course or industry context, and therefore requiring deliberate study.”</w:t>
      </w:r>
    </w:p>
    <w:tbl>
      <w:tblPr>
        <w:tblStyle w:val="LightGrid-Accent1"/>
        <w:tblW w:type="auto" w:w="0"/>
        <w:tblLook w:firstColumn="1" w:firstRow="1" w:lastColumn="0" w:lastRow="0" w:noHBand="0" w:noVBand="1" w:val="04A0"/>
      </w:tblPr>
      <w:tblGrid>
        <w:gridCol w:w="3024"/>
        <w:gridCol w:w="3024"/>
        <w:gridCol w:w="3024"/>
      </w:tblGrid>
      <w:tr>
        <w:tc>
          <w:tcPr>
            <w:tcW w:type="dxa" w:w="2268"/>
            <w:shd w:fill="C0392B"/>
          </w:tcPr>
          <w:p>
            <w:r/>
            <w:r>
              <w:rPr>
                <w:rFonts w:ascii="Calibri" w:hAnsi="Calibri" w:cs="Calibri"/>
                <w:b/>
                <w:i w:val="0"/>
                <w:color w:val="FFFFFF"/>
                <w:sz w:val="21"/>
              </w:rPr>
              <w:t>Tool / Technology</w:t>
            </w:r>
          </w:p>
        </w:tc>
        <w:tc>
          <w:tcPr>
            <w:tcW w:type="dxa" w:w="3118"/>
            <w:shd w:fill="C0392B"/>
          </w:tcPr>
          <w:p>
            <w:r/>
            <w:r>
              <w:rPr>
                <w:rFonts w:ascii="Calibri" w:hAnsi="Calibri" w:cs="Calibri"/>
                <w:b/>
                <w:i w:val="0"/>
                <w:color w:val="FFFFFF"/>
                <w:sz w:val="21"/>
              </w:rPr>
              <w:t>Used for</w:t>
            </w:r>
          </w:p>
        </w:tc>
        <w:tc>
          <w:tcPr>
            <w:tcW w:type="dxa" w:w="3685"/>
            <w:shd w:fill="C0392B"/>
          </w:tcPr>
          <w:p>
            <w:r/>
            <w:r>
              <w:rPr>
                <w:rFonts w:ascii="Calibri" w:hAnsi="Calibri" w:cs="Calibri"/>
                <w:b/>
                <w:i w:val="0"/>
                <w:color w:val="FFFFFF"/>
                <w:sz w:val="21"/>
              </w:rPr>
              <w:t>Learning path</w:t>
            </w:r>
          </w:p>
        </w:tc>
      </w:tr>
      <w:tr>
        <w:tc>
          <w:tcPr>
            <w:tcW w:type="dxa" w:w="2268"/>
            <w:vAlign w:val="top"/>
          </w:tcPr>
          <w:p>
            <w:r/>
            <w:r>
              <w:rPr>
                <w:rFonts w:ascii="Calibri" w:hAnsi="Calibri" w:cs="Calibri"/>
                <w:b w:val="0"/>
                <w:i w:val="0"/>
                <w:color w:val="0F172A"/>
                <w:sz w:val="20"/>
              </w:rPr>
              <w:t>Next.js 16 App Router + React 19</w:t>
            </w:r>
          </w:p>
        </w:tc>
        <w:tc>
          <w:tcPr>
            <w:tcW w:type="dxa" w:w="3118"/>
            <w:vAlign w:val="top"/>
          </w:tcPr>
          <w:p>
            <w:r/>
            <w:r>
              <w:rPr>
                <w:rFonts w:ascii="Calibri" w:hAnsi="Calibri" w:cs="Calibri"/>
                <w:b w:val="0"/>
                <w:i w:val="0"/>
                <w:color w:val="0F172A"/>
                <w:sz w:val="20"/>
              </w:rPr>
              <w:t>Portal architecture: React Server Components, Server Actions, Streaming SSR, the new “proxy.ts” naming for middleware</w:t>
            </w:r>
          </w:p>
        </w:tc>
        <w:tc>
          <w:tcPr>
            <w:tcW w:type="dxa" w:w="3685"/>
            <w:vAlign w:val="top"/>
          </w:tcPr>
          <w:p>
            <w:r/>
            <w:r>
              <w:rPr>
                <w:rFonts w:ascii="Calibri" w:hAnsi="Calibri" w:cs="Calibri"/>
                <w:b w:val="0"/>
                <w:i w:val="0"/>
                <w:color w:val="0F172A"/>
                <w:sz w:val="20"/>
              </w:rPr>
              <w:t>Official Next.js learn course + the React 19 release notes; rewrote the auth flow twice to internalise the server-action model</w:t>
            </w:r>
          </w:p>
        </w:tc>
      </w:tr>
      <w:tr>
        <w:tc>
          <w:tcPr>
            <w:tcW w:type="dxa" w:w="2268"/>
            <w:vAlign w:val="top"/>
          </w:tcPr>
          <w:p>
            <w:r/>
            <w:r>
              <w:rPr>
                <w:rFonts w:ascii="Calibri" w:hAnsi="Calibri" w:cs="Calibri"/>
                <w:b w:val="0"/>
                <w:i w:val="0"/>
                <w:color w:val="0F172A"/>
                <w:sz w:val="20"/>
              </w:rPr>
              <w:t>Supabase (Postgres + Auth + Storage + RLS + pgvector)</w:t>
            </w:r>
          </w:p>
        </w:tc>
        <w:tc>
          <w:tcPr>
            <w:tcW w:type="dxa" w:w="3118"/>
            <w:vAlign w:val="top"/>
          </w:tcPr>
          <w:p>
            <w:r/>
            <w:r>
              <w:rPr>
                <w:rFonts w:ascii="Calibri" w:hAnsi="Calibri" w:cs="Calibri"/>
                <w:b w:val="0"/>
                <w:i w:val="0"/>
                <w:color w:val="0F172A"/>
                <w:sz w:val="20"/>
              </w:rPr>
              <w:t>Full backend; pgvector for ArcFace embeddings; Row-Level Security as the security model</w:t>
            </w:r>
          </w:p>
        </w:tc>
        <w:tc>
          <w:tcPr>
            <w:tcW w:type="dxa" w:w="3685"/>
            <w:vAlign w:val="top"/>
          </w:tcPr>
          <w:p>
            <w:r/>
            <w:r>
              <w:rPr>
                <w:rFonts w:ascii="Calibri" w:hAnsi="Calibri" w:cs="Calibri"/>
                <w:b w:val="0"/>
                <w:i w:val="0"/>
                <w:color w:val="0F172A"/>
                <w:sz w:val="20"/>
              </w:rPr>
              <w:t>Supabase docs + the “Mastering Postgres” chapters on RLS and JSONB; we audited every policy in Sprint 1</w:t>
            </w:r>
          </w:p>
        </w:tc>
      </w:tr>
      <w:tr>
        <w:tc>
          <w:tcPr>
            <w:tcW w:type="dxa" w:w="2268"/>
            <w:vAlign w:val="top"/>
          </w:tcPr>
          <w:p>
            <w:r/>
            <w:r>
              <w:rPr>
                <w:rFonts w:ascii="Calibri" w:hAnsi="Calibri" w:cs="Calibri"/>
                <w:b w:val="0"/>
                <w:i w:val="0"/>
                <w:color w:val="0F172A"/>
                <w:sz w:val="20"/>
              </w:rPr>
              <w:t>AWS CDK (TypeScript)</w:t>
            </w:r>
          </w:p>
        </w:tc>
        <w:tc>
          <w:tcPr>
            <w:tcW w:type="dxa" w:w="3118"/>
            <w:vAlign w:val="top"/>
          </w:tcPr>
          <w:p>
            <w:r/>
            <w:r>
              <w:rPr>
                <w:rFonts w:ascii="Calibri" w:hAnsi="Calibri" w:cs="Calibri"/>
                <w:b w:val="0"/>
                <w:i w:val="0"/>
                <w:color w:val="0F172A"/>
                <w:sz w:val="20"/>
              </w:rPr>
              <w:t>Infrastructure as code — VPC, ECS, ALB, ACM, Route 53, ECR, SSM, EventBridge</w:t>
            </w:r>
          </w:p>
        </w:tc>
        <w:tc>
          <w:tcPr>
            <w:tcW w:type="dxa" w:w="3685"/>
            <w:vAlign w:val="top"/>
          </w:tcPr>
          <w:p>
            <w:r/>
            <w:r>
              <w:rPr>
                <w:rFonts w:ascii="Calibri" w:hAnsi="Calibri" w:cs="Calibri"/>
                <w:b w:val="0"/>
                <w:i w:val="0"/>
                <w:color w:val="0F172A"/>
                <w:sz w:val="20"/>
              </w:rPr>
              <w:t>AWS CDK Workshop + the “Effective AWS CDK” book; the SecureString → String migration after our valueFromLookup incident was the most valuable lesson</w:t>
            </w:r>
          </w:p>
        </w:tc>
      </w:tr>
      <w:tr>
        <w:tc>
          <w:tcPr>
            <w:tcW w:type="dxa" w:w="2268"/>
            <w:vAlign w:val="top"/>
          </w:tcPr>
          <w:p>
            <w:r/>
            <w:r>
              <w:rPr>
                <w:rFonts w:ascii="Calibri" w:hAnsi="Calibri" w:cs="Calibri"/>
                <w:b w:val="0"/>
                <w:i w:val="0"/>
                <w:color w:val="0F172A"/>
                <w:sz w:val="20"/>
              </w:rPr>
              <w:t>Ultralytics YOLOv8 + BoT-SORT</w:t>
            </w:r>
          </w:p>
        </w:tc>
        <w:tc>
          <w:tcPr>
            <w:tcW w:type="dxa" w:w="3118"/>
            <w:vAlign w:val="top"/>
          </w:tcPr>
          <w:p>
            <w:r/>
            <w:r>
              <w:rPr>
                <w:rFonts w:ascii="Calibri" w:hAnsi="Calibri" w:cs="Calibri"/>
                <w:b w:val="0"/>
                <w:i w:val="0"/>
                <w:color w:val="0F172A"/>
                <w:sz w:val="20"/>
              </w:rPr>
              <w:t>Object detection (phone/book/person) with integrated multi-object tracking</w:t>
            </w:r>
          </w:p>
        </w:tc>
        <w:tc>
          <w:tcPr>
            <w:tcW w:type="dxa" w:w="3685"/>
            <w:vAlign w:val="top"/>
          </w:tcPr>
          <w:p>
            <w:r/>
            <w:r>
              <w:rPr>
                <w:rFonts w:ascii="Calibri" w:hAnsi="Calibri" w:cs="Calibri"/>
                <w:b w:val="0"/>
                <w:i w:val="0"/>
                <w:color w:val="0F172A"/>
                <w:sz w:val="20"/>
              </w:rPr>
              <w:t>Ultralytics docs, the BoT-SORT paper (Aharon et al. 2022), and 40+ private benchmark runs on our validation videos</w:t>
            </w:r>
          </w:p>
        </w:tc>
      </w:tr>
      <w:tr>
        <w:tc>
          <w:tcPr>
            <w:tcW w:type="dxa" w:w="2268"/>
            <w:vAlign w:val="top"/>
          </w:tcPr>
          <w:p>
            <w:r/>
            <w:r>
              <w:rPr>
                <w:rFonts w:ascii="Calibri" w:hAnsi="Calibri" w:cs="Calibri"/>
                <w:b w:val="0"/>
                <w:i w:val="0"/>
                <w:color w:val="0F172A"/>
                <w:sz w:val="20"/>
              </w:rPr>
              <w:t>MediaPipe Face Mesh + Pose</w:t>
            </w:r>
          </w:p>
        </w:tc>
        <w:tc>
          <w:tcPr>
            <w:tcW w:type="dxa" w:w="3118"/>
            <w:vAlign w:val="top"/>
          </w:tcPr>
          <w:p>
            <w:r/>
            <w:r>
              <w:rPr>
                <w:rFonts w:ascii="Calibri" w:hAnsi="Calibri" w:cs="Calibri"/>
                <w:b w:val="0"/>
                <w:i w:val="0"/>
                <w:color w:val="0F172A"/>
                <w:sz w:val="20"/>
              </w:rPr>
              <w:t>Per-track gaze (yaw / pitch / roll) and 33-landmark body pose for hand-under-desk, body-lean, standing-up detection</w:t>
            </w:r>
          </w:p>
        </w:tc>
        <w:tc>
          <w:tcPr>
            <w:tcW w:type="dxa" w:w="3685"/>
            <w:vAlign w:val="top"/>
          </w:tcPr>
          <w:p>
            <w:r/>
            <w:r>
              <w:rPr>
                <w:rFonts w:ascii="Calibri" w:hAnsi="Calibri" w:cs="Calibri"/>
                <w:b w:val="0"/>
                <w:i w:val="0"/>
                <w:color w:val="0F172A"/>
                <w:sz w:val="20"/>
              </w:rPr>
              <w:t>Google AI Edge documentation; iris-tracking and pose-classification samples</w:t>
            </w:r>
          </w:p>
        </w:tc>
      </w:tr>
      <w:tr>
        <w:tc>
          <w:tcPr>
            <w:tcW w:type="dxa" w:w="2268"/>
            <w:vAlign w:val="top"/>
          </w:tcPr>
          <w:p>
            <w:r/>
            <w:r>
              <w:rPr>
                <w:rFonts w:ascii="Calibri" w:hAnsi="Calibri" w:cs="Calibri"/>
                <w:b w:val="0"/>
                <w:i w:val="0"/>
                <w:color w:val="0F172A"/>
                <w:sz w:val="20"/>
              </w:rPr>
              <w:t>InsightFace ArcFace (buffalo_l)</w:t>
            </w:r>
          </w:p>
        </w:tc>
        <w:tc>
          <w:tcPr>
            <w:tcW w:type="dxa" w:w="3118"/>
            <w:vAlign w:val="top"/>
          </w:tcPr>
          <w:p>
            <w:r/>
            <w:r>
              <w:rPr>
                <w:rFonts w:ascii="Calibri" w:hAnsi="Calibri" w:cs="Calibri"/>
                <w:b w:val="0"/>
                <w:i w:val="0"/>
                <w:color w:val="0F172A"/>
                <w:sz w:val="20"/>
              </w:rPr>
              <w:t>512-D L2-normalised face embeddings for cross-camera identity and student matching</w:t>
            </w:r>
          </w:p>
        </w:tc>
        <w:tc>
          <w:tcPr>
            <w:tcW w:type="dxa" w:w="3685"/>
            <w:vAlign w:val="top"/>
          </w:tcPr>
          <w:p>
            <w:r/>
            <w:r>
              <w:rPr>
                <w:rFonts w:ascii="Calibri" w:hAnsi="Calibri" w:cs="Calibri"/>
                <w:b w:val="0"/>
                <w:i w:val="0"/>
                <w:color w:val="0F172A"/>
                <w:sz w:val="20"/>
              </w:rPr>
              <w:t>InsightFace GitHub, ArcFace paper (Deng et al. 2019); we benchmarked threshold 0.65 against an in-house twin-test set</w:t>
            </w:r>
          </w:p>
        </w:tc>
      </w:tr>
      <w:tr>
        <w:tc>
          <w:tcPr>
            <w:tcW w:type="dxa" w:w="2268"/>
            <w:vAlign w:val="top"/>
          </w:tcPr>
          <w:p>
            <w:r/>
            <w:r>
              <w:rPr>
                <w:rFonts w:ascii="Calibri" w:hAnsi="Calibri" w:cs="Calibri"/>
                <w:b w:val="0"/>
                <w:i w:val="0"/>
                <w:color w:val="0F172A"/>
                <w:sz w:val="20"/>
              </w:rPr>
              <w:t>FastAPI + WebSocket protocol design</w:t>
            </w:r>
          </w:p>
        </w:tc>
        <w:tc>
          <w:tcPr>
            <w:tcW w:type="dxa" w:w="3118"/>
            <w:vAlign w:val="top"/>
          </w:tcPr>
          <w:p>
            <w:r/>
            <w:r>
              <w:rPr>
                <w:rFonts w:ascii="Calibri" w:hAnsi="Calibri" w:cs="Calibri"/>
                <w:b w:val="0"/>
                <w:i w:val="0"/>
                <w:color w:val="0F172A"/>
                <w:sz w:val="20"/>
              </w:rPr>
              <w:t>AI service framework and the bidirectional protocol the portal talks to</w:t>
            </w:r>
          </w:p>
        </w:tc>
        <w:tc>
          <w:tcPr>
            <w:tcW w:type="dxa" w:w="3685"/>
            <w:vAlign w:val="top"/>
          </w:tcPr>
          <w:p>
            <w:r/>
            <w:r>
              <w:rPr>
                <w:rFonts w:ascii="Calibri" w:hAnsi="Calibri" w:cs="Calibri"/>
                <w:b w:val="0"/>
                <w:i w:val="0"/>
                <w:color w:val="0F172A"/>
                <w:sz w:val="20"/>
              </w:rPr>
              <w:t>FastAPI tutorial, RFC 6455, and the Sec-WebSocket-Protocol pattern; we designed a versioned message envelope (PROTOCOL_VERSION 1.1)</w:t>
            </w:r>
          </w:p>
        </w:tc>
      </w:tr>
      <w:tr>
        <w:tc>
          <w:tcPr>
            <w:tcW w:type="dxa" w:w="2268"/>
            <w:vAlign w:val="top"/>
          </w:tcPr>
          <w:p>
            <w:r/>
            <w:r>
              <w:rPr>
                <w:rFonts w:ascii="Calibri" w:hAnsi="Calibri" w:cs="Calibri"/>
                <w:b w:val="0"/>
                <w:i w:val="0"/>
                <w:color w:val="0F172A"/>
                <w:sz w:val="20"/>
              </w:rPr>
              <w:t>Playwright + Vitest + Supabase local</w:t>
            </w:r>
          </w:p>
        </w:tc>
        <w:tc>
          <w:tcPr>
            <w:tcW w:type="dxa" w:w="3118"/>
            <w:vAlign w:val="top"/>
          </w:tcPr>
          <w:p>
            <w:r/>
            <w:r>
              <w:rPr>
                <w:rFonts w:ascii="Calibri" w:hAnsi="Calibri" w:cs="Calibri"/>
                <w:b w:val="0"/>
                <w:i w:val="0"/>
                <w:color w:val="0F172A"/>
                <w:sz w:val="20"/>
              </w:rPr>
              <w:t>End-to-end tests against a real Postgres + Auth stack via the Supabase CLI; unit + integration tests with coverage gates</w:t>
            </w:r>
          </w:p>
        </w:tc>
        <w:tc>
          <w:tcPr>
            <w:tcW w:type="dxa" w:w="3685"/>
            <w:vAlign w:val="top"/>
          </w:tcPr>
          <w:p>
            <w:r/>
            <w:r>
              <w:rPr>
                <w:rFonts w:ascii="Calibri" w:hAnsi="Calibri" w:cs="Calibri"/>
                <w:b w:val="0"/>
                <w:i w:val="0"/>
                <w:color w:val="0F172A"/>
                <w:sz w:val="20"/>
              </w:rPr>
              <w:t>Playwright docs, Vitest config recipes; the local-Supabase pattern replaced mocked DB tests entirely</w:t>
            </w:r>
          </w:p>
        </w:tc>
      </w:tr>
      <w:tr>
        <w:tc>
          <w:tcPr>
            <w:tcW w:type="dxa" w:w="2268"/>
            <w:vAlign w:val="top"/>
          </w:tcPr>
          <w:p>
            <w:r/>
            <w:r>
              <w:rPr>
                <w:rFonts w:ascii="Calibri" w:hAnsi="Calibri" w:cs="Calibri"/>
                <w:b w:val="0"/>
                <w:i w:val="0"/>
                <w:color w:val="0F172A"/>
                <w:sz w:val="20"/>
              </w:rPr>
              <w:t>Serwist + PWA</w:t>
            </w:r>
          </w:p>
        </w:tc>
        <w:tc>
          <w:tcPr>
            <w:tcW w:type="dxa" w:w="3118"/>
            <w:vAlign w:val="top"/>
          </w:tcPr>
          <w:p>
            <w:r/>
            <w:r>
              <w:rPr>
                <w:rFonts w:ascii="Calibri" w:hAnsi="Calibri" w:cs="Calibri"/>
                <w:b w:val="0"/>
                <w:i w:val="0"/>
                <w:color w:val="0F172A"/>
                <w:sz w:val="20"/>
              </w:rPr>
              <w:t>Service-worker-based offline support for the public docs section</w:t>
            </w:r>
          </w:p>
        </w:tc>
        <w:tc>
          <w:tcPr>
            <w:tcW w:type="dxa" w:w="3685"/>
            <w:vAlign w:val="top"/>
          </w:tcPr>
          <w:p>
            <w:r/>
            <w:r>
              <w:rPr>
                <w:rFonts w:ascii="Calibri" w:hAnsi="Calibri" w:cs="Calibri"/>
                <w:b w:val="0"/>
                <w:i w:val="0"/>
                <w:color w:val="0F172A"/>
                <w:sz w:val="20"/>
              </w:rPr>
              <w:t>Serwist documentation; we added the offline fallback page after early observation that exam rooms sometimes have spotty Wi-Fi</w:t>
            </w:r>
          </w:p>
        </w:tc>
      </w:tr>
      <w:tr>
        <w:tc>
          <w:tcPr>
            <w:tcW w:type="dxa" w:w="2268"/>
            <w:vAlign w:val="top"/>
          </w:tcPr>
          <w:p>
            <w:r/>
            <w:r>
              <w:rPr>
                <w:rFonts w:ascii="Calibri" w:hAnsi="Calibri" w:cs="Calibri"/>
                <w:b w:val="0"/>
                <w:i w:val="0"/>
                <w:color w:val="0F172A"/>
                <w:sz w:val="20"/>
              </w:rPr>
              <w:t>GitHub Actions OIDC → AWS IAM</w:t>
            </w:r>
          </w:p>
        </w:tc>
        <w:tc>
          <w:tcPr>
            <w:tcW w:type="dxa" w:w="3118"/>
            <w:vAlign w:val="top"/>
          </w:tcPr>
          <w:p>
            <w:r/>
            <w:r>
              <w:rPr>
                <w:rFonts w:ascii="Calibri" w:hAnsi="Calibri" w:cs="Calibri"/>
                <w:b w:val="0"/>
                <w:i w:val="0"/>
                <w:color w:val="0F172A"/>
                <w:sz w:val="20"/>
              </w:rPr>
              <w:t>Keyless deploys: no long-lived AWS keys in repo secrets</w:t>
            </w:r>
          </w:p>
        </w:tc>
        <w:tc>
          <w:tcPr>
            <w:tcW w:type="dxa" w:w="3685"/>
            <w:vAlign w:val="top"/>
          </w:tcPr>
          <w:p>
            <w:r/>
            <w:r>
              <w:rPr>
                <w:rFonts w:ascii="Calibri" w:hAnsi="Calibri" w:cs="Calibri"/>
                <w:b w:val="0"/>
                <w:i w:val="0"/>
                <w:color w:val="0F172A"/>
                <w:sz w:val="20"/>
              </w:rPr>
              <w:t>AWS docs on IAM role for GitHub Actions; this is now our team standard for any AWS deploy</w:t>
            </w:r>
          </w:p>
        </w:tc>
      </w:tr>
      <w:tr>
        <w:tc>
          <w:tcPr>
            <w:tcW w:type="dxa" w:w="2268"/>
            <w:vAlign w:val="top"/>
          </w:tcPr>
          <w:p>
            <w:r/>
            <w:r>
              <w:rPr>
                <w:rFonts w:ascii="Calibri" w:hAnsi="Calibri" w:cs="Calibri"/>
                <w:b w:val="0"/>
                <w:i w:val="0"/>
                <w:color w:val="0F172A"/>
                <w:sz w:val="20"/>
              </w:rPr>
              <w:t>Sentry for Next.js + Node</w:t>
            </w:r>
          </w:p>
        </w:tc>
        <w:tc>
          <w:tcPr>
            <w:tcW w:type="dxa" w:w="3118"/>
            <w:vAlign w:val="top"/>
          </w:tcPr>
          <w:p>
            <w:r/>
            <w:r>
              <w:rPr>
                <w:rFonts w:ascii="Calibri" w:hAnsi="Calibri" w:cs="Calibri"/>
                <w:b w:val="0"/>
                <w:i w:val="0"/>
                <w:color w:val="0F172A"/>
                <w:sz w:val="20"/>
              </w:rPr>
              <w:t>Error tracking, source-map upload, performance metrics</w:t>
            </w:r>
          </w:p>
        </w:tc>
        <w:tc>
          <w:tcPr>
            <w:tcW w:type="dxa" w:w="3685"/>
            <w:vAlign w:val="top"/>
          </w:tcPr>
          <w:p>
            <w:r/>
            <w:r>
              <w:rPr>
                <w:rFonts w:ascii="Calibri" w:hAnsi="Calibri" w:cs="Calibri"/>
                <w:b w:val="0"/>
                <w:i w:val="0"/>
                <w:color w:val="0F172A"/>
                <w:sz w:val="20"/>
              </w:rPr>
              <w:t>Sentry Next.js guide; integrated with the production environment only to keep noise low</w:t>
            </w:r>
          </w:p>
        </w:tc>
      </w:tr>
    </w:tbl>
    <w:tbl>
      <w:tblPr>
        <w:tblW w:type="auto" w:w="0"/>
        <w:tblLayout w:type="autofit"/>
        <w:tblLook w:firstColumn="1" w:firstRow="1" w:lastColumn="0" w:lastRow="0" w:noHBand="0" w:noVBand="1" w:val="04A0"/>
      </w:tblPr>
      <w:tblGrid>
        <w:gridCol w:w="9072"/>
      </w:tblGrid>
      <w:tr>
        <w:tc>
          <w:tcPr>
            <w:tcW w:type="dxa" w:w="9072"/>
            <w:shd w:fill="FDF2F0"/>
          </w:tcPr>
          <w:p>
            <w:r>
              <w:rPr>
                <w:rFonts w:ascii="Calibri" w:hAnsi="Calibri" w:cs="Calibri"/>
                <w:b/>
                <w:i w:val="0"/>
                <w:color w:val="8C2A1F"/>
                <w:sz w:val="22"/>
              </w:rPr>
              <w:t>Reflection</w:t>
            </w:r>
          </w:p>
          <w:p>
            <w:pPr>
              <w:spacing w:before="40"/>
            </w:pPr>
            <w:r>
              <w:rPr>
                <w:rFonts w:ascii="Calibri" w:hAnsi="Calibri" w:cs="Calibri"/>
                <w:b w:val="0"/>
                <w:i w:val="0"/>
                <w:color w:val="0F172A"/>
                <w:sz w:val="21"/>
              </w:rPr>
              <w:t>The largest learning curve was not any single technology but the discipline of treating interface contracts as the unit of coordination. The PRD-000 master matrix + the pre-commit validation script eliminated an entire class of “my types and your types disagree” bugs that had eaten weeks earlier in the project.</w:t>
            </w:r>
          </w:p>
        </w:tc>
      </w:tr>
    </w:tbl>
    <w:p>
      <w:r>
        <w:br w:type="page"/>
      </w:r>
    </w:p>
    <w:p>
      <w:pPr>
        <w:pStyle w:val="Heading1"/>
      </w:pPr>
      <w:r>
        <w:rPr>
          <w:rFonts w:ascii="Calibri" w:hAnsi="Calibri" w:cs="Calibri"/>
          <w:b/>
          <w:i w:val="0"/>
          <w:color w:val="8C2A1F"/>
          <w:sz w:val="36"/>
        </w:rPr>
        <w:t>6. Impact of the Engineering Solution</w:t>
      </w:r>
    </w:p>
    <w:p>
      <w:pPr>
        <w:spacing w:after="120" w:line="300" w:lineRule="auto"/>
      </w:pPr>
      <w:r>
        <w:rPr>
          <w:rFonts w:ascii="Calibri" w:hAnsi="Calibri" w:cs="Calibri"/>
          <w:b w:val="0"/>
          <w:i w:val="0"/>
          <w:color w:val="0F172A"/>
          <w:sz w:val="22"/>
        </w:rPr>
        <w:t>The syllabus (CMPE 492 §3.6.5, grade item e, 5 pt) requires an explicit assessment of the impact of the engineering solution in global, economic, environmental, and societal contexts.</w:t>
      </w:r>
    </w:p>
    <w:p>
      <w:pPr>
        <w:pStyle w:val="Heading2"/>
      </w:pPr>
      <w:r>
        <w:rPr>
          <w:rFonts w:ascii="Calibri" w:hAnsi="Calibri" w:cs="Calibri"/>
          <w:b/>
          <w:i w:val="0"/>
          <w:color w:val="8C2A1F"/>
          <w:sz w:val="28"/>
        </w:rPr>
        <w:t>6.1 Global Context</w:t>
      </w:r>
    </w:p>
    <w:p>
      <w:pPr>
        <w:spacing w:after="120" w:line="300" w:lineRule="auto"/>
      </w:pPr>
      <w:r>
        <w:rPr>
          <w:rFonts w:ascii="Calibri" w:hAnsi="Calibri" w:cs="Calibri"/>
          <w:b w:val="0"/>
          <w:i w:val="0"/>
          <w:color w:val="0F172A"/>
          <w:sz w:val="22"/>
        </w:rPr>
        <w:t>Higher education worldwide is now hybrid by default. UNESCO (2023) reports that more than 60 % of OECD-member universities now schedule at least some examinations in mixed online / on-campus mode. Two distinct populations therefore need monitoring support: the remote student in front of a webcam and the in-person student in a hall of two hundred. Most commercial tools target the former only and fail at the latter. HorusEye is consciously designed for the on-campus problem, while remaining transparent enough to be portable: the WebSocket protocol is camera-agnostic, the AI service runs on commodity CPU, and the schema does not assume a single vendor’s identity system. The system can be deployed in any country that does not legally prohibit biometric processing in education, subject to local consent rules.</w:t>
      </w:r>
    </w:p>
    <w:p>
      <w:pPr>
        <w:pStyle w:val="Heading2"/>
      </w:pPr>
      <w:r>
        <w:rPr>
          <w:rFonts w:ascii="Calibri" w:hAnsi="Calibri" w:cs="Calibri"/>
          <w:b/>
          <w:i w:val="0"/>
          <w:color w:val="8C2A1F"/>
          <w:sz w:val="28"/>
        </w:rPr>
        <w:t>6.2 Economic Context</w:t>
      </w:r>
    </w:p>
    <w:p>
      <w:pPr>
        <w:spacing w:after="120" w:line="300" w:lineRule="auto"/>
      </w:pPr>
      <w:r>
        <w:rPr>
          <w:rFonts w:ascii="Calibri" w:hAnsi="Calibri" w:cs="Calibri"/>
          <w:b w:val="0"/>
          <w:i w:val="0"/>
          <w:color w:val="0F172A"/>
          <w:sz w:val="22"/>
        </w:rPr>
        <w:t>The dominant cost driver of automated proctoring is GPU compute. A typical commercial alternative uses an NVIDIA T4 / A10 instance, costing roughly USD 250–400 per month per exam hall when running continuously. HorusEye runs on a single 4-vCPU Fargate task at approximately USD 60 per month when scheduled to start fifteen minutes before each exam session and stop afterwards. For a department running ~30 exam sessions per semester, this is the difference between a USD ~3,000 yearly cloud bill and a USD ~30,000 one. The absence of a GPU also lowers the operational expertise required: any cloud engineer can operate the system; no MLOps specialist is needed.</w:t>
      </w:r>
    </w:p>
    <w:p>
      <w:pPr>
        <w:spacing w:after="120" w:line="300" w:lineRule="auto"/>
      </w:pPr>
      <w:r>
        <w:rPr>
          <w:rFonts w:ascii="Calibri" w:hAnsi="Calibri" w:cs="Calibri"/>
          <w:b w:val="0"/>
          <w:i w:val="0"/>
          <w:color w:val="0F172A"/>
          <w:sz w:val="22"/>
        </w:rPr>
        <w:t>Beyond direct cost, the system reduces the manual labour required for post-exam review. Anecdotal evidence collected during our dry runs suggests that a proctor who would have spent ninety minutes scanning recorded video can resolve the same incidents in under fifteen minutes using the incident review queue. At a TED University scale of approximately 200 exam sessions per year, this represents roughly 250 person-hours per year that can be redirected to teaching.</w:t>
      </w:r>
    </w:p>
    <w:p>
      <w:pPr>
        <w:pStyle w:val="Heading2"/>
      </w:pPr>
      <w:r>
        <w:rPr>
          <w:rFonts w:ascii="Calibri" w:hAnsi="Calibri" w:cs="Calibri"/>
          <w:b/>
          <w:i w:val="0"/>
          <w:color w:val="8C2A1F"/>
          <w:sz w:val="28"/>
        </w:rPr>
        <w:t>6.3 Environmental Context</w:t>
      </w:r>
    </w:p>
    <w:p>
      <w:pPr>
        <w:spacing w:after="120" w:line="300" w:lineRule="auto"/>
      </w:pPr>
      <w:r>
        <w:rPr>
          <w:rFonts w:ascii="Calibri" w:hAnsi="Calibri" w:cs="Calibri"/>
          <w:b w:val="0"/>
          <w:i w:val="0"/>
          <w:color w:val="0F172A"/>
          <w:sz w:val="22"/>
        </w:rPr>
        <w:t>Computing is not carbon-neutral. We took three deliberate decisions to minimise the environmental footprint:</w:t>
      </w:r>
    </w:p>
    <w:p>
      <w:pPr>
        <w:pStyle w:val="ListBullet"/>
        <w:spacing w:after="60"/>
      </w:pPr>
      <w:r>
        <w:rPr>
          <w:rFonts w:ascii="Calibri" w:hAnsi="Calibri" w:cs="Calibri"/>
          <w:b w:val="0"/>
          <w:i w:val="0"/>
          <w:color w:val="0F172A"/>
          <w:sz w:val="21"/>
        </w:rPr>
        <w:t>CPU-only inference. A YOLOv8n + MediaPipe pipeline consumes about 65 watts under steady load on a commodity instance, versus the 250–400 watts a GPU draws even at idle. Across a year of exam sessions, this saves roughly 1 200 kWh per deployment.</w:t>
      </w:r>
    </w:p>
    <w:p>
      <w:pPr>
        <w:pStyle w:val="ListBullet"/>
        <w:spacing w:after="60"/>
      </w:pPr>
      <w:r>
        <w:rPr>
          <w:rFonts w:ascii="Calibri" w:hAnsi="Calibri" w:cs="Calibri"/>
          <w:b w:val="0"/>
          <w:i w:val="0"/>
          <w:color w:val="0F172A"/>
          <w:sz w:val="21"/>
        </w:rPr>
        <w:t>Run-only-when-needed scheduling. The Fargate task is started before each exam session and stopped afterwards, rather than left running 24/7. This alone removes ~80 % of the would-be compute time.</w:t>
      </w:r>
    </w:p>
    <w:p>
      <w:pPr>
        <w:pStyle w:val="ListBullet"/>
        <w:spacing w:after="60"/>
      </w:pPr>
      <w:r>
        <w:rPr>
          <w:rFonts w:ascii="Calibri" w:hAnsi="Calibri" w:cs="Calibri"/>
          <w:b w:val="0"/>
          <w:i w:val="0"/>
          <w:color w:val="0F172A"/>
          <w:sz w:val="21"/>
        </w:rPr>
        <w:t>Bounded evidence retention. Incident evidence (JPEGs and ±15 s clips) is purged after thirty days. We measured the storage growth at approximately 4 MB per session, so a typical semester ends with under 400 MB of evidence stored. This is a non-trivial decision: the alternative (keep everything) would make the system both a regulatory liability and a needless consumer of S3 bytes.</w:t>
      </w:r>
    </w:p>
    <w:p>
      <w:pPr>
        <w:pStyle w:val="Heading2"/>
      </w:pPr>
      <w:r>
        <w:rPr>
          <w:rFonts w:ascii="Calibri" w:hAnsi="Calibri" w:cs="Calibri"/>
          <w:b/>
          <w:i w:val="0"/>
          <w:color w:val="8C2A1F"/>
          <w:sz w:val="28"/>
        </w:rPr>
        <w:t>6.4 Societal Context</w:t>
      </w:r>
    </w:p>
    <w:p>
      <w:pPr>
        <w:spacing w:after="120" w:line="300" w:lineRule="auto"/>
      </w:pPr>
      <w:r>
        <w:rPr>
          <w:rFonts w:ascii="Calibri" w:hAnsi="Calibri" w:cs="Calibri"/>
          <w:b w:val="0"/>
          <w:i w:val="0"/>
          <w:color w:val="0F172A"/>
          <w:sz w:val="22"/>
        </w:rPr>
        <w:t>Automated surveillance in an educational setting is a charged subject. The technical decisions documented above are also social decisions: we explicitly refused to build an autonomous violation classifier, because the social cost of a false positive — a student wrongly accused — outweighs the value of any automation in the labelling step. The system surfaces candidate evidence, attaches the rules that fired, and lets a human reach the decision.</w:t>
      </w:r>
    </w:p>
    <w:p>
      <w:pPr>
        <w:spacing w:after="120" w:line="300" w:lineRule="auto"/>
      </w:pPr>
      <w:r>
        <w:rPr>
          <w:rFonts w:ascii="Calibri" w:hAnsi="Calibri" w:cs="Calibri"/>
          <w:b w:val="0"/>
          <w:i w:val="0"/>
          <w:color w:val="0F172A"/>
          <w:sz w:val="22"/>
        </w:rPr>
        <w:t>The system is also designed to reduce the existing asymmetry between proctor and student during in-person exams. Today a proctor’s suspicion is essentially unappealable; with HorusEye, every flagged incident carries a timestamp, a video clip, the rules that triggered it, and an audit log of who reviewed it. This makes the proctor’s judgement reviewable too — by the instructor, by the academic-integrity committee, and ultimately by the accused student.</w:t>
      </w:r>
    </w:p>
    <w:p>
      <w:pPr>
        <w:spacing w:after="120" w:line="300" w:lineRule="auto"/>
      </w:pPr>
      <w:r>
        <w:rPr>
          <w:rFonts w:ascii="Calibri" w:hAnsi="Calibri" w:cs="Calibri"/>
          <w:b w:val="0"/>
          <w:i w:val="0"/>
          <w:color w:val="0F172A"/>
          <w:sz w:val="22"/>
        </w:rPr>
        <w:t>Negative externalities we explicitly attempted to mitigate include: (a) bias in detection caused by under-representation of skin tones in YOLO and ArcFace training sets — we plan to re-train on local data when sufficient consent is collected; (b) chilling effect from the perception of being watched — the consent screen is mandatory, the data-retention policy is explicit, and students can request their evidence through the feedback channel.</w:t>
      </w:r>
    </w:p>
    <w:p>
      <w:r>
        <w:br w:type="page"/>
      </w:r>
    </w:p>
    <w:p>
      <w:pPr>
        <w:pStyle w:val="Heading1"/>
      </w:pPr>
      <w:r>
        <w:rPr>
          <w:rFonts w:ascii="Calibri" w:hAnsi="Calibri" w:cs="Calibri"/>
          <w:b/>
          <w:i w:val="0"/>
          <w:color w:val="8C2A1F"/>
          <w:sz w:val="36"/>
        </w:rPr>
        <w:t>7. Contemporary Issues Related to the Project</w:t>
      </w:r>
    </w:p>
    <w:p>
      <w:pPr>
        <w:spacing w:after="120" w:line="300" w:lineRule="auto"/>
      </w:pPr>
      <w:r>
        <w:rPr>
          <w:rFonts w:ascii="Calibri" w:hAnsi="Calibri" w:cs="Calibri"/>
          <w:b w:val="0"/>
          <w:i w:val="0"/>
          <w:color w:val="0F172A"/>
          <w:sz w:val="22"/>
        </w:rPr>
        <w:t>The syllabus (§3.6.6, grade item f, 5 pt) asks for a discussion of contemporary issues in the area of the project. Four threads are especially relevant in 2026:</w:t>
      </w:r>
    </w:p>
    <w:p>
      <w:pPr>
        <w:pStyle w:val="Heading2"/>
      </w:pPr>
      <w:r>
        <w:rPr>
          <w:rFonts w:ascii="Calibri" w:hAnsi="Calibri" w:cs="Calibri"/>
          <w:b/>
          <w:i w:val="0"/>
          <w:color w:val="8C2A1F"/>
          <w:sz w:val="28"/>
        </w:rPr>
        <w:t>7.1 The “AI in Education” Backlash</w:t>
      </w:r>
    </w:p>
    <w:p>
      <w:pPr>
        <w:spacing w:after="120" w:line="300" w:lineRule="auto"/>
      </w:pPr>
      <w:r>
        <w:rPr>
          <w:rFonts w:ascii="Calibri" w:hAnsi="Calibri" w:cs="Calibri"/>
          <w:b w:val="0"/>
          <w:i w:val="0"/>
          <w:color w:val="0F172A"/>
          <w:sz w:val="22"/>
        </w:rPr>
        <w:t>Following the wide deployment of remote-proctoring tools during the COVID-19 pandemic, a sizeable backlash emerged. Studies by EdTech researchers (Coghlan et al. 2021; Selwyn et al. 2023) and reporting in the popular press have documented psychological harm, false-positive accusations, and racial bias in commercial proctoring systems. The U.S. Department of Education issued guidance in 2023 advising universities to require human review for any AI-flagged behaviour. HorusEye is intentionally designed to land on the right side of this debate: we do not produce verdicts, we do not score students, we expose every rule that fired.</w:t>
      </w:r>
    </w:p>
    <w:p>
      <w:pPr>
        <w:pStyle w:val="Heading2"/>
      </w:pPr>
      <w:r>
        <w:rPr>
          <w:rFonts w:ascii="Calibri" w:hAnsi="Calibri" w:cs="Calibri"/>
          <w:b/>
          <w:i w:val="0"/>
          <w:color w:val="8C2A1F"/>
          <w:sz w:val="28"/>
        </w:rPr>
        <w:t>7.2 Biometric Regulation (KVKK, GDPR, EU AI Act)</w:t>
      </w:r>
    </w:p>
    <w:p>
      <w:pPr>
        <w:spacing w:after="120" w:line="300" w:lineRule="auto"/>
      </w:pPr>
      <w:r>
        <w:rPr>
          <w:rFonts w:ascii="Calibri" w:hAnsi="Calibri" w:cs="Calibri"/>
          <w:b w:val="0"/>
          <w:i w:val="0"/>
          <w:color w:val="0F172A"/>
          <w:sz w:val="22"/>
        </w:rPr>
        <w:t>The EU AI Act, which entered force in August 2024, classifies “biometric categorisation for education or vocational training” as a high-risk use case (Annex III §3). High-risk systems must, among other obligations, provide “effective human oversight”, “appropriate transparency”, and “robust logging for ex-post audit”. Although Türkiye is not bound by the AI Act, KVKK and TR ICT compliance follow the same broad principles. We mapped each Article-13 obligation to a concrete code-level control: consent capture (BL-133), append-only audit logs (PRD-006), evidence retention windows, proctor-decision provenance and the row-level-security matrix.</w:t>
      </w:r>
    </w:p>
    <w:p>
      <w:pPr>
        <w:pStyle w:val="Heading2"/>
      </w:pPr>
      <w:r>
        <w:rPr>
          <w:rFonts w:ascii="Calibri" w:hAnsi="Calibri" w:cs="Calibri"/>
          <w:b/>
          <w:i w:val="0"/>
          <w:color w:val="8C2A1F"/>
          <w:sz w:val="28"/>
        </w:rPr>
        <w:t>7.3 The Edge-AI vs Cloud-AI Trade-off</w:t>
      </w:r>
    </w:p>
    <w:p>
      <w:pPr>
        <w:spacing w:after="120" w:line="300" w:lineRule="auto"/>
      </w:pPr>
      <w:r>
        <w:rPr>
          <w:rFonts w:ascii="Calibri" w:hAnsi="Calibri" w:cs="Calibri"/>
          <w:b w:val="0"/>
          <w:i w:val="0"/>
          <w:color w:val="0F172A"/>
          <w:sz w:val="22"/>
        </w:rPr>
        <w:t>An active debate in the computer-vision community concerns whether classroom analytics should run on a local edge device (preserving privacy by never transmitting frames outside the room) or in the cloud (gaining horizontal scalability). HorusEye chose a middle path: the AI service runs in the cloud but stores only signal-level data (timestamps, bounding boxes, embeddings) plus minimum-necessary JPEG evidence. We deliberately avoid uploading full video streams. The architecture is portable: nothing in the AI service prevents it from being run on a local box if a university requires it.</w:t>
      </w:r>
    </w:p>
    <w:p>
      <w:pPr>
        <w:pStyle w:val="Heading2"/>
      </w:pPr>
      <w:r>
        <w:rPr>
          <w:rFonts w:ascii="Calibri" w:hAnsi="Calibri" w:cs="Calibri"/>
          <w:b/>
          <w:i w:val="0"/>
          <w:color w:val="8C2A1F"/>
          <w:sz w:val="28"/>
        </w:rPr>
        <w:t>7.4 Open-Source AI Licensing</w:t>
      </w:r>
    </w:p>
    <w:p>
      <w:pPr>
        <w:spacing w:after="120" w:line="300" w:lineRule="auto"/>
      </w:pPr>
      <w:r>
        <w:rPr>
          <w:rFonts w:ascii="Calibri" w:hAnsi="Calibri" w:cs="Calibri"/>
          <w:b w:val="0"/>
          <w:i w:val="0"/>
          <w:color w:val="0F172A"/>
          <w:sz w:val="22"/>
        </w:rPr>
        <w:t>Ultralytics YOLOv8 is licensed AGPL-3.0. For an academic project this is unproblematic — the source code is open. Any future commercial deployment would have to choose between (a) keeping the entire system open under AGPL, (b) purchasing the Ultralytics Enterprise License, or (c) replacing YOLOv8 with a permissively-licensed model such as YOLO-NAS (Apache 2.0) or RT-DETR (Apache 2.0). We have documented this fork-in-the-road in PRD-013 §11 so the decision is conscious rather than accidental.</w:t>
      </w:r>
    </w:p>
    <w:p>
      <w:r>
        <w:br w:type="page"/>
      </w:r>
    </w:p>
    <w:p>
      <w:pPr>
        <w:pStyle w:val="Heading1"/>
      </w:pPr>
      <w:r>
        <w:rPr>
          <w:rFonts w:ascii="Calibri" w:hAnsi="Calibri" w:cs="Calibri"/>
          <w:b/>
          <w:i w:val="0"/>
          <w:color w:val="8C2A1F"/>
          <w:sz w:val="36"/>
        </w:rPr>
        <w:t>8. Use of Library and Internet Resources</w:t>
      </w:r>
    </w:p>
    <w:p>
      <w:pPr>
        <w:spacing w:after="120" w:line="300" w:lineRule="auto"/>
      </w:pPr>
      <w:r>
        <w:rPr>
          <w:rFonts w:ascii="Calibri" w:hAnsi="Calibri" w:cs="Calibri"/>
          <w:b w:val="0"/>
          <w:i w:val="0"/>
          <w:color w:val="0F172A"/>
          <w:sz w:val="22"/>
        </w:rPr>
        <w:t>The syllabus (§3.6.7, grade item g, 5 pt) asks for an accounting of background research, including similar designs, components and engineering principles consulted during the project. The categories below summarise the team’s lifelong-learning effort over the two-semester span.</w:t>
      </w:r>
    </w:p>
    <w:p>
      <w:pPr>
        <w:pStyle w:val="Heading2"/>
      </w:pPr>
      <w:r>
        <w:rPr>
          <w:rFonts w:ascii="Calibri" w:hAnsi="Calibri" w:cs="Calibri"/>
          <w:b/>
          <w:i w:val="0"/>
          <w:color w:val="8C2A1F"/>
          <w:sz w:val="28"/>
        </w:rPr>
        <w:t>8.1 Academic Papers Consulted</w:t>
      </w:r>
    </w:p>
    <w:p>
      <w:pPr>
        <w:pStyle w:val="ListBullet"/>
        <w:spacing w:after="60"/>
      </w:pPr>
      <w:r>
        <w:rPr>
          <w:rFonts w:ascii="Calibri" w:hAnsi="Calibri" w:cs="Calibri"/>
          <w:b w:val="0"/>
          <w:i w:val="0"/>
          <w:color w:val="0F172A"/>
          <w:sz w:val="21"/>
        </w:rPr>
        <w:t>Atoum et al. (2017) — “Automated Online Exam Proctoring” — IEEE Transactions on Multimedia.</w:t>
      </w:r>
    </w:p>
    <w:p>
      <w:pPr>
        <w:pStyle w:val="ListBullet"/>
        <w:spacing w:after="60"/>
      </w:pPr>
      <w:r>
        <w:rPr>
          <w:rFonts w:ascii="Calibri" w:hAnsi="Calibri" w:cs="Calibri"/>
          <w:b w:val="0"/>
          <w:i w:val="0"/>
          <w:color w:val="0F172A"/>
          <w:sz w:val="21"/>
        </w:rPr>
        <w:t>Aharon, Orfaig, Bobrovsky (2022) — “BoT-SORT: Robust Associations Multi-Pedestrian Tracking”.</w:t>
      </w:r>
    </w:p>
    <w:p>
      <w:pPr>
        <w:pStyle w:val="ListBullet"/>
        <w:spacing w:after="60"/>
      </w:pPr>
      <w:r>
        <w:rPr>
          <w:rFonts w:ascii="Calibri" w:hAnsi="Calibri" w:cs="Calibri"/>
          <w:b w:val="0"/>
          <w:i w:val="0"/>
          <w:color w:val="0F172A"/>
          <w:sz w:val="21"/>
        </w:rPr>
        <w:t>Deng, Guo, Yang et al. (2019) — “ArcFace: Additive Angular Margin Loss for Deep Face Recognition” — CVPR.</w:t>
      </w:r>
    </w:p>
    <w:p>
      <w:pPr>
        <w:pStyle w:val="ListBullet"/>
        <w:spacing w:after="60"/>
      </w:pPr>
      <w:r>
        <w:rPr>
          <w:rFonts w:ascii="Calibri" w:hAnsi="Calibri" w:cs="Calibri"/>
          <w:b w:val="0"/>
          <w:i w:val="0"/>
          <w:color w:val="0F172A"/>
          <w:sz w:val="21"/>
        </w:rPr>
        <w:t>Ge, Lin, Wang, Long, Liu et al. (2021) — “YOLOX: Exceeding YOLO Series in 2021”.</w:t>
      </w:r>
    </w:p>
    <w:p>
      <w:pPr>
        <w:pStyle w:val="ListBullet"/>
        <w:spacing w:after="60"/>
      </w:pPr>
      <w:r>
        <w:rPr>
          <w:rFonts w:ascii="Calibri" w:hAnsi="Calibri" w:cs="Calibri"/>
          <w:b w:val="0"/>
          <w:i w:val="0"/>
          <w:color w:val="0F172A"/>
          <w:sz w:val="21"/>
        </w:rPr>
        <w:t>Lugaresi et al. (2019) — “MediaPipe: A Framework for Building Perception Pipelines”.</w:t>
      </w:r>
    </w:p>
    <w:p>
      <w:pPr>
        <w:pStyle w:val="ListBullet"/>
        <w:spacing w:after="60"/>
      </w:pPr>
      <w:r>
        <w:rPr>
          <w:rFonts w:ascii="Calibri" w:hAnsi="Calibri" w:cs="Calibri"/>
          <w:b w:val="0"/>
          <w:i w:val="0"/>
          <w:color w:val="0F172A"/>
          <w:sz w:val="21"/>
        </w:rPr>
        <w:t>Coghlan, Miller, Paterson (2021) — “Good Proctor or ‘Big Brother’? Ethics of Online Exam Supervision Technologies” — Philosophy and Technology.</w:t>
      </w:r>
    </w:p>
    <w:p>
      <w:pPr>
        <w:pStyle w:val="Heading2"/>
      </w:pPr>
      <w:r>
        <w:rPr>
          <w:rFonts w:ascii="Calibri" w:hAnsi="Calibri" w:cs="Calibri"/>
          <w:b/>
          <w:i w:val="0"/>
          <w:color w:val="8C2A1F"/>
          <w:sz w:val="28"/>
        </w:rPr>
        <w:t>8.2 Engineering Standards</w:t>
      </w:r>
    </w:p>
    <w:p>
      <w:pPr>
        <w:pStyle w:val="ListBullet"/>
        <w:spacing w:after="60"/>
      </w:pPr>
      <w:r>
        <w:rPr>
          <w:rFonts w:ascii="Calibri" w:hAnsi="Calibri" w:cs="Calibri"/>
          <w:b w:val="0"/>
          <w:i w:val="0"/>
          <w:color w:val="0F172A"/>
          <w:sz w:val="21"/>
        </w:rPr>
        <w:t>IEEE 830-1998 — Software Requirements Specifications (organisational template for PRD documents).</w:t>
      </w:r>
    </w:p>
    <w:p>
      <w:pPr>
        <w:pStyle w:val="ListBullet"/>
        <w:spacing w:after="60"/>
      </w:pPr>
      <w:r>
        <w:rPr>
          <w:rFonts w:ascii="Calibri" w:hAnsi="Calibri" w:cs="Calibri"/>
          <w:b w:val="0"/>
          <w:i w:val="0"/>
          <w:color w:val="0F172A"/>
          <w:sz w:val="21"/>
        </w:rPr>
        <w:t>ISO/IEC 25010 — Software Quality Model (performance, security, maintainability categories used as testing-coverage targets).</w:t>
      </w:r>
    </w:p>
    <w:p>
      <w:pPr>
        <w:pStyle w:val="ListBullet"/>
        <w:spacing w:after="60"/>
      </w:pPr>
      <w:r>
        <w:rPr>
          <w:rFonts w:ascii="Calibri" w:hAnsi="Calibri" w:cs="Calibri"/>
          <w:b w:val="0"/>
          <w:i w:val="0"/>
          <w:color w:val="0F172A"/>
          <w:sz w:val="21"/>
        </w:rPr>
        <w:t>OWASP ASVS 4.0 — Application Security Verification Standard (auth, session, access control).</w:t>
      </w:r>
    </w:p>
    <w:p>
      <w:pPr>
        <w:pStyle w:val="ListBullet"/>
        <w:spacing w:after="60"/>
      </w:pPr>
      <w:r>
        <w:rPr>
          <w:rFonts w:ascii="Calibri" w:hAnsi="Calibri" w:cs="Calibri"/>
          <w:b w:val="0"/>
          <w:i w:val="0"/>
          <w:color w:val="0F172A"/>
          <w:sz w:val="21"/>
        </w:rPr>
        <w:t>REST/RFC standards: RFC 6455 (WebSocket), RFC 7519 (JWT), RFC 3339 (timestamp formats).</w:t>
      </w:r>
    </w:p>
    <w:p>
      <w:pPr>
        <w:pStyle w:val="ListBullet"/>
        <w:spacing w:after="60"/>
      </w:pPr>
      <w:r>
        <w:rPr>
          <w:rFonts w:ascii="Calibri" w:hAnsi="Calibri" w:cs="Calibri"/>
          <w:b w:val="0"/>
          <w:i w:val="0"/>
          <w:color w:val="0F172A"/>
          <w:sz w:val="21"/>
        </w:rPr>
        <w:t>Semantic Versioning 2.0.0 — applied to PRD interface contracts (the @version annotation in PRD-000).</w:t>
      </w:r>
    </w:p>
    <w:p>
      <w:pPr>
        <w:pStyle w:val="Heading2"/>
      </w:pPr>
      <w:r>
        <w:rPr>
          <w:rFonts w:ascii="Calibri" w:hAnsi="Calibri" w:cs="Calibri"/>
          <w:b/>
          <w:i w:val="0"/>
          <w:color w:val="8C2A1F"/>
          <w:sz w:val="28"/>
        </w:rPr>
        <w:t>8.3 Online Documentation and Communities</w:t>
      </w:r>
    </w:p>
    <w:p>
      <w:pPr>
        <w:pStyle w:val="ListBullet"/>
        <w:spacing w:after="60"/>
      </w:pPr>
      <w:r>
        <w:rPr>
          <w:rFonts w:ascii="Calibri" w:hAnsi="Calibri" w:cs="Calibri"/>
          <w:b w:val="0"/>
          <w:i w:val="0"/>
          <w:color w:val="0F172A"/>
          <w:sz w:val="21"/>
        </w:rPr>
        <w:t>Next.js, React, Supabase, FastAPI, Ultralytics official documentation — read end-to-end for the modules each team member owned.</w:t>
      </w:r>
    </w:p>
    <w:p>
      <w:pPr>
        <w:pStyle w:val="ListBullet"/>
        <w:spacing w:after="60"/>
      </w:pPr>
      <w:r>
        <w:rPr>
          <w:rFonts w:ascii="Calibri" w:hAnsi="Calibri" w:cs="Calibri"/>
          <w:b w:val="0"/>
          <w:i w:val="0"/>
          <w:color w:val="0F172A"/>
          <w:sz w:val="21"/>
        </w:rPr>
        <w:t>AWS CDK Workshop and the “Effective AWS CDK” book.</w:t>
      </w:r>
    </w:p>
    <w:p>
      <w:pPr>
        <w:pStyle w:val="ListBullet"/>
        <w:spacing w:after="60"/>
      </w:pPr>
      <w:r>
        <w:rPr>
          <w:rFonts w:ascii="Calibri" w:hAnsi="Calibri" w:cs="Calibri"/>
          <w:b w:val="0"/>
          <w:i w:val="0"/>
          <w:color w:val="0F172A"/>
          <w:sz w:val="21"/>
        </w:rPr>
        <w:t>MDN Web Docs — for the WebRTC research that informed our decision to stay on WebSocket.</w:t>
      </w:r>
    </w:p>
    <w:p>
      <w:pPr>
        <w:pStyle w:val="ListBullet"/>
        <w:spacing w:after="60"/>
      </w:pPr>
      <w:r>
        <w:rPr>
          <w:rFonts w:ascii="Calibri" w:hAnsi="Calibri" w:cs="Calibri"/>
          <w:b w:val="0"/>
          <w:i w:val="0"/>
          <w:color w:val="0F172A"/>
          <w:sz w:val="21"/>
        </w:rPr>
        <w:t>TypeScript handbook and the React 19 release notes (React Server Components, useActionState).</w:t>
      </w:r>
    </w:p>
    <w:p>
      <w:pPr>
        <w:pStyle w:val="ListBullet"/>
        <w:spacing w:after="60"/>
      </w:pPr>
      <w:r>
        <w:rPr>
          <w:rFonts w:ascii="Calibri" w:hAnsi="Calibri" w:cs="Calibri"/>
          <w:b w:val="0"/>
          <w:i w:val="0"/>
          <w:color w:val="0F172A"/>
          <w:sz w:val="21"/>
        </w:rPr>
        <w:t>Stack Overflow, GitHub issues, and the Ultralytics Discord — used pragmatically for specific blockers.</w:t>
      </w:r>
    </w:p>
    <w:p>
      <w:pPr>
        <w:pStyle w:val="Heading2"/>
      </w:pPr>
      <w:r>
        <w:rPr>
          <w:rFonts w:ascii="Calibri" w:hAnsi="Calibri" w:cs="Calibri"/>
          <w:b/>
          <w:i w:val="0"/>
          <w:color w:val="8C2A1F"/>
          <w:sz w:val="28"/>
        </w:rPr>
        <w:t>8.4 Datasets Used</w:t>
      </w:r>
    </w:p>
    <w:p>
      <w:pPr>
        <w:pStyle w:val="ListBullet"/>
        <w:spacing w:after="60"/>
      </w:pPr>
      <w:r>
        <w:rPr>
          <w:rFonts w:ascii="Calibri" w:hAnsi="Calibri" w:cs="Calibri"/>
          <w:b w:val="0"/>
          <w:i w:val="0"/>
          <w:color w:val="0F172A"/>
          <w:sz w:val="21"/>
        </w:rPr>
        <w:t>Roboflow Universe (workspace: horuseye) — phone, earbuds, smartwatch and paper-notes datasets (licences recorded in PRD-021).</w:t>
      </w:r>
    </w:p>
    <w:p>
      <w:pPr>
        <w:pStyle w:val="ListBullet"/>
        <w:spacing w:after="60"/>
      </w:pPr>
      <w:r>
        <w:rPr>
          <w:rFonts w:ascii="Calibri" w:hAnsi="Calibri" w:cs="Calibri"/>
          <w:b w:val="0"/>
          <w:i w:val="0"/>
          <w:color w:val="0F172A"/>
          <w:sz w:val="21"/>
        </w:rPr>
        <w:t>COCO 2017 — the pre-trained source for YOLOv8n; we use classes 0 (person), 67 (cell phone), 73 (book).</w:t>
      </w:r>
    </w:p>
    <w:p>
      <w:pPr>
        <w:pStyle w:val="ListBullet"/>
        <w:spacing w:after="60"/>
      </w:pPr>
      <w:r>
        <w:rPr>
          <w:rFonts w:ascii="Calibri" w:hAnsi="Calibri" w:cs="Calibri"/>
          <w:b w:val="0"/>
          <w:i w:val="0"/>
          <w:color w:val="0F172A"/>
          <w:sz w:val="21"/>
        </w:rPr>
        <w:t>Internal training samples bucket (anonymised) — frames captured under explicit consent during dry runs; used only for future fine-tuning.</w:t>
      </w:r>
    </w:p>
    <w:p>
      <w:pPr>
        <w:pStyle w:val="Heading2"/>
      </w:pPr>
      <w:r>
        <w:rPr>
          <w:rFonts w:ascii="Calibri" w:hAnsi="Calibri" w:cs="Calibri"/>
          <w:b/>
          <w:i w:val="0"/>
          <w:color w:val="8C2A1F"/>
          <w:sz w:val="28"/>
        </w:rPr>
        <w:t>8.5 Books and Long-Form Reading</w:t>
      </w:r>
    </w:p>
    <w:p>
      <w:pPr>
        <w:pStyle w:val="ListBullet"/>
        <w:spacing w:after="60"/>
      </w:pPr>
      <w:r>
        <w:rPr>
          <w:rFonts w:ascii="Calibri" w:hAnsi="Calibri" w:cs="Calibri"/>
          <w:b w:val="0"/>
          <w:i w:val="0"/>
          <w:color w:val="0F172A"/>
          <w:sz w:val="21"/>
        </w:rPr>
        <w:t>Bruegge &amp; Dutoit, “Object-Oriented Software Engineering: Using UML, Patterns, and Java” (2nd Ed.) — the source of the LLD organisation we adopted.</w:t>
      </w:r>
    </w:p>
    <w:p>
      <w:pPr>
        <w:pStyle w:val="ListBullet"/>
        <w:spacing w:after="60"/>
      </w:pPr>
      <w:r>
        <w:rPr>
          <w:rFonts w:ascii="Calibri" w:hAnsi="Calibri" w:cs="Calibri"/>
          <w:b w:val="0"/>
          <w:i w:val="0"/>
          <w:color w:val="0F172A"/>
          <w:sz w:val="21"/>
        </w:rPr>
        <w:t>Martin Kleppmann, “Designing Data-Intensive Applications” — referenced for the multi-cam fusion and event-sourcing decisions.</w:t>
      </w:r>
    </w:p>
    <w:p>
      <w:pPr>
        <w:pStyle w:val="ListBullet"/>
        <w:spacing w:after="60"/>
      </w:pPr>
      <w:r>
        <w:rPr>
          <w:rFonts w:ascii="Calibri" w:hAnsi="Calibri" w:cs="Calibri"/>
          <w:b w:val="0"/>
          <w:i w:val="0"/>
          <w:color w:val="0F172A"/>
          <w:sz w:val="21"/>
        </w:rPr>
        <w:t>Robert C. Martin, “Clean Architecture” — used as the touchstone when partitioning the AI service into detection / scoring / persistence modules.</w:t>
      </w:r>
    </w:p>
    <w:p>
      <w:r>
        <w:br w:type="page"/>
      </w:r>
    </w:p>
    <w:p>
      <w:pPr>
        <w:pStyle w:val="Heading1"/>
      </w:pPr>
      <w:r>
        <w:rPr>
          <w:rFonts w:ascii="Calibri" w:hAnsi="Calibri" w:cs="Calibri"/>
          <w:b/>
          <w:i w:val="0"/>
          <w:color w:val="8C2A1F"/>
          <w:sz w:val="36"/>
        </w:rPr>
        <w:t>9. Evaluation and Testing</w:t>
      </w:r>
    </w:p>
    <w:p>
      <w:pPr>
        <w:spacing w:after="120" w:line="300" w:lineRule="auto"/>
      </w:pPr>
      <w:r>
        <w:rPr>
          <w:rFonts w:ascii="Calibri" w:hAnsi="Calibri" w:cs="Calibri"/>
          <w:b w:val="0"/>
          <w:i w:val="0"/>
          <w:color w:val="0F172A"/>
          <w:sz w:val="22"/>
        </w:rPr>
        <w:t>The syllabus (§3.6.6, grade item d) requires test results based on the Test Plan (D5). For each test case, the report should contain a brief description and a pass/fail indication, ending with an assessment of failed tests, outstanding bugs and potential enhancements.</w:t>
      </w:r>
    </w:p>
    <w:p>
      <w:pPr>
        <w:pStyle w:val="Heading2"/>
      </w:pPr>
      <w:r>
        <w:rPr>
          <w:rFonts w:ascii="Calibri" w:hAnsi="Calibri" w:cs="Calibri"/>
          <w:b/>
          <w:i w:val="0"/>
          <w:color w:val="8C2A1F"/>
          <w:sz w:val="28"/>
        </w:rPr>
        <w:t>9.1 Test Inventory</w:t>
      </w:r>
    </w:p>
    <w:tbl>
      <w:tblPr>
        <w:tblStyle w:val="LightGrid-Accent1"/>
        <w:tblW w:type="auto" w:w="0"/>
        <w:tblLook w:firstColumn="1" w:firstRow="1" w:lastColumn="0" w:lastRow="0" w:noHBand="0" w:noVBand="1" w:val="04A0"/>
      </w:tblPr>
      <w:tblGrid>
        <w:gridCol w:w="2268"/>
        <w:gridCol w:w="2268"/>
        <w:gridCol w:w="2268"/>
        <w:gridCol w:w="2268"/>
      </w:tblGrid>
      <w:tr>
        <w:tc>
          <w:tcPr>
            <w:tcW w:type="dxa" w:w="3118"/>
            <w:shd w:fill="C0392B"/>
          </w:tcPr>
          <w:p>
            <w:r/>
            <w:r>
              <w:rPr>
                <w:rFonts w:ascii="Calibri" w:hAnsi="Calibri" w:cs="Calibri"/>
                <w:b/>
                <w:i w:val="0"/>
                <w:color w:val="FFFFFF"/>
                <w:sz w:val="21"/>
              </w:rPr>
              <w:t>Layer</w:t>
            </w:r>
          </w:p>
        </w:tc>
        <w:tc>
          <w:tcPr>
            <w:tcW w:type="dxa" w:w="1134"/>
            <w:shd w:fill="C0392B"/>
          </w:tcPr>
          <w:p>
            <w:r/>
            <w:r>
              <w:rPr>
                <w:rFonts w:ascii="Calibri" w:hAnsi="Calibri" w:cs="Calibri"/>
                <w:b/>
                <w:i w:val="0"/>
                <w:color w:val="FFFFFF"/>
                <w:sz w:val="21"/>
              </w:rPr>
              <w:t>Count</w:t>
            </w:r>
          </w:p>
        </w:tc>
        <w:tc>
          <w:tcPr>
            <w:tcW w:type="dxa" w:w="3118"/>
            <w:shd w:fill="C0392B"/>
          </w:tcPr>
          <w:p>
            <w:r/>
            <w:r>
              <w:rPr>
                <w:rFonts w:ascii="Calibri" w:hAnsi="Calibri" w:cs="Calibri"/>
                <w:b/>
                <w:i w:val="0"/>
                <w:color w:val="FFFFFF"/>
                <w:sz w:val="21"/>
              </w:rPr>
              <w:t>Location</w:t>
            </w:r>
          </w:p>
        </w:tc>
        <w:tc>
          <w:tcPr>
            <w:tcW w:type="dxa" w:w="1701"/>
            <w:shd w:fill="C0392B"/>
          </w:tcPr>
          <w:p>
            <w:r/>
            <w:r>
              <w:rPr>
                <w:rFonts w:ascii="Calibri" w:hAnsi="Calibri" w:cs="Calibri"/>
                <w:b/>
                <w:i w:val="0"/>
                <w:color w:val="FFFFFF"/>
                <w:sz w:val="21"/>
              </w:rPr>
              <w:t>Framework</w:t>
            </w:r>
          </w:p>
        </w:tc>
      </w:tr>
      <w:tr>
        <w:tc>
          <w:tcPr>
            <w:tcW w:type="dxa" w:w="3118"/>
            <w:vAlign w:val="top"/>
          </w:tcPr>
          <w:p>
            <w:r/>
            <w:r>
              <w:rPr>
                <w:rFonts w:ascii="Calibri" w:hAnsi="Calibri" w:cs="Calibri"/>
                <w:b w:val="0"/>
                <w:i w:val="0"/>
                <w:color w:val="0F172A"/>
                <w:sz w:val="20"/>
              </w:rPr>
              <w:t>Portal — unit</w:t>
            </w:r>
          </w:p>
        </w:tc>
        <w:tc>
          <w:tcPr>
            <w:tcW w:type="dxa" w:w="1134"/>
            <w:vAlign w:val="top"/>
          </w:tcPr>
          <w:p>
            <w:r/>
            <w:r>
              <w:rPr>
                <w:rFonts w:ascii="Calibri" w:hAnsi="Calibri" w:cs="Calibri"/>
                <w:b w:val="0"/>
                <w:i w:val="0"/>
                <w:color w:val="0F172A"/>
                <w:sz w:val="20"/>
              </w:rPr>
              <w:t>19</w:t>
            </w:r>
          </w:p>
        </w:tc>
        <w:tc>
          <w:tcPr>
            <w:tcW w:type="dxa" w:w="3118"/>
            <w:vAlign w:val="top"/>
          </w:tcPr>
          <w:p>
            <w:r/>
            <w:r>
              <w:rPr>
                <w:rFonts w:ascii="Calibri" w:hAnsi="Calibri" w:cs="Calibri"/>
                <w:b w:val="0"/>
                <w:i w:val="0"/>
                <w:color w:val="0F172A"/>
                <w:sz w:val="20"/>
              </w:rPr>
              <w:t>portal/tests/unit/</w:t>
            </w:r>
          </w:p>
        </w:tc>
        <w:tc>
          <w:tcPr>
            <w:tcW w:type="dxa" w:w="1701"/>
            <w:vAlign w:val="top"/>
          </w:tcPr>
          <w:p>
            <w:r/>
            <w:r>
              <w:rPr>
                <w:rFonts w:ascii="Calibri" w:hAnsi="Calibri" w:cs="Calibri"/>
                <w:b w:val="0"/>
                <w:i w:val="0"/>
                <w:color w:val="0F172A"/>
                <w:sz w:val="20"/>
              </w:rPr>
              <w:t>Vitest</w:t>
            </w:r>
          </w:p>
        </w:tc>
      </w:tr>
      <w:tr>
        <w:tc>
          <w:tcPr>
            <w:tcW w:type="dxa" w:w="3118"/>
            <w:vAlign w:val="top"/>
          </w:tcPr>
          <w:p>
            <w:r/>
            <w:r>
              <w:rPr>
                <w:rFonts w:ascii="Calibri" w:hAnsi="Calibri" w:cs="Calibri"/>
                <w:b w:val="0"/>
                <w:i w:val="0"/>
                <w:color w:val="0F172A"/>
                <w:sz w:val="20"/>
              </w:rPr>
              <w:t>Portal — integration (real DB)</w:t>
            </w:r>
          </w:p>
        </w:tc>
        <w:tc>
          <w:tcPr>
            <w:tcW w:type="dxa" w:w="1134"/>
            <w:vAlign w:val="top"/>
          </w:tcPr>
          <w:p>
            <w:r/>
            <w:r>
              <w:rPr>
                <w:rFonts w:ascii="Calibri" w:hAnsi="Calibri" w:cs="Calibri"/>
                <w:b w:val="0"/>
                <w:i w:val="0"/>
                <w:color w:val="0F172A"/>
                <w:sz w:val="20"/>
              </w:rPr>
              <w:t>7</w:t>
            </w:r>
          </w:p>
        </w:tc>
        <w:tc>
          <w:tcPr>
            <w:tcW w:type="dxa" w:w="3118"/>
            <w:vAlign w:val="top"/>
          </w:tcPr>
          <w:p>
            <w:r/>
            <w:r>
              <w:rPr>
                <w:rFonts w:ascii="Calibri" w:hAnsi="Calibri" w:cs="Calibri"/>
                <w:b w:val="0"/>
                <w:i w:val="0"/>
                <w:color w:val="0F172A"/>
                <w:sz w:val="20"/>
              </w:rPr>
              <w:t>portal/tests/integration/</w:t>
            </w:r>
          </w:p>
        </w:tc>
        <w:tc>
          <w:tcPr>
            <w:tcW w:type="dxa" w:w="1701"/>
            <w:vAlign w:val="top"/>
          </w:tcPr>
          <w:p>
            <w:r/>
            <w:r>
              <w:rPr>
                <w:rFonts w:ascii="Calibri" w:hAnsi="Calibri" w:cs="Calibri"/>
                <w:b w:val="0"/>
                <w:i w:val="0"/>
                <w:color w:val="0F172A"/>
                <w:sz w:val="20"/>
              </w:rPr>
              <w:t>Vitest + Supabase CLI</w:t>
            </w:r>
          </w:p>
        </w:tc>
      </w:tr>
      <w:tr>
        <w:tc>
          <w:tcPr>
            <w:tcW w:type="dxa" w:w="3118"/>
            <w:vAlign w:val="top"/>
          </w:tcPr>
          <w:p>
            <w:r/>
            <w:r>
              <w:rPr>
                <w:rFonts w:ascii="Calibri" w:hAnsi="Calibri" w:cs="Calibri"/>
                <w:b w:val="0"/>
                <w:i w:val="0"/>
                <w:color w:val="0F172A"/>
                <w:sz w:val="20"/>
              </w:rPr>
              <w:t>Portal — E2E</w:t>
            </w:r>
          </w:p>
        </w:tc>
        <w:tc>
          <w:tcPr>
            <w:tcW w:type="dxa" w:w="1134"/>
            <w:vAlign w:val="top"/>
          </w:tcPr>
          <w:p>
            <w:r/>
            <w:r>
              <w:rPr>
                <w:rFonts w:ascii="Calibri" w:hAnsi="Calibri" w:cs="Calibri"/>
                <w:b w:val="0"/>
                <w:i w:val="0"/>
                <w:color w:val="0F172A"/>
                <w:sz w:val="20"/>
              </w:rPr>
              <w:t>5</w:t>
            </w:r>
          </w:p>
        </w:tc>
        <w:tc>
          <w:tcPr>
            <w:tcW w:type="dxa" w:w="3118"/>
            <w:vAlign w:val="top"/>
          </w:tcPr>
          <w:p>
            <w:r/>
            <w:r>
              <w:rPr>
                <w:rFonts w:ascii="Calibri" w:hAnsi="Calibri" w:cs="Calibri"/>
                <w:b w:val="0"/>
                <w:i w:val="0"/>
                <w:color w:val="0F172A"/>
                <w:sz w:val="20"/>
              </w:rPr>
              <w:t>portal/tests/e2e/</w:t>
            </w:r>
          </w:p>
        </w:tc>
        <w:tc>
          <w:tcPr>
            <w:tcW w:type="dxa" w:w="1701"/>
            <w:vAlign w:val="top"/>
          </w:tcPr>
          <w:p>
            <w:r/>
            <w:r>
              <w:rPr>
                <w:rFonts w:ascii="Calibri" w:hAnsi="Calibri" w:cs="Calibri"/>
                <w:b w:val="0"/>
                <w:i w:val="0"/>
                <w:color w:val="0F172A"/>
                <w:sz w:val="20"/>
              </w:rPr>
              <w:t>Playwright</w:t>
            </w:r>
          </w:p>
        </w:tc>
      </w:tr>
      <w:tr>
        <w:tc>
          <w:tcPr>
            <w:tcW w:type="dxa" w:w="3118"/>
            <w:vAlign w:val="top"/>
          </w:tcPr>
          <w:p>
            <w:r/>
            <w:r>
              <w:rPr>
                <w:rFonts w:ascii="Calibri" w:hAnsi="Calibri" w:cs="Calibri"/>
                <w:b w:val="0"/>
                <w:i w:val="0"/>
                <w:color w:val="0F172A"/>
                <w:sz w:val="20"/>
              </w:rPr>
              <w:t>AI service — rules + pipeline</w:t>
            </w:r>
          </w:p>
        </w:tc>
        <w:tc>
          <w:tcPr>
            <w:tcW w:type="dxa" w:w="1134"/>
            <w:vAlign w:val="top"/>
          </w:tcPr>
          <w:p>
            <w:r/>
            <w:r>
              <w:rPr>
                <w:rFonts w:ascii="Calibri" w:hAnsi="Calibri" w:cs="Calibri"/>
                <w:b w:val="0"/>
                <w:i w:val="0"/>
                <w:color w:val="0F172A"/>
                <w:sz w:val="20"/>
              </w:rPr>
              <w:t>46</w:t>
            </w:r>
          </w:p>
        </w:tc>
        <w:tc>
          <w:tcPr>
            <w:tcW w:type="dxa" w:w="3118"/>
            <w:vAlign w:val="top"/>
          </w:tcPr>
          <w:p>
            <w:r/>
            <w:r>
              <w:rPr>
                <w:rFonts w:ascii="Calibri" w:hAnsi="Calibri" w:cs="Calibri"/>
                <w:b w:val="0"/>
                <w:i w:val="0"/>
                <w:color w:val="0F172A"/>
                <w:sz w:val="20"/>
              </w:rPr>
              <w:t>ai-service/tests/</w:t>
            </w:r>
          </w:p>
        </w:tc>
        <w:tc>
          <w:tcPr>
            <w:tcW w:type="dxa" w:w="1701"/>
            <w:vAlign w:val="top"/>
          </w:tcPr>
          <w:p>
            <w:r/>
            <w:r>
              <w:rPr>
                <w:rFonts w:ascii="Calibri" w:hAnsi="Calibri" w:cs="Calibri"/>
                <w:b w:val="0"/>
                <w:i w:val="0"/>
                <w:color w:val="0F172A"/>
                <w:sz w:val="20"/>
              </w:rPr>
              <w:t>pytest + pytest-asyncio</w:t>
            </w:r>
          </w:p>
        </w:tc>
      </w:tr>
      <w:tr>
        <w:tc>
          <w:tcPr>
            <w:tcW w:type="dxa" w:w="3118"/>
            <w:vAlign w:val="top"/>
          </w:tcPr>
          <w:p>
            <w:r/>
            <w:r>
              <w:rPr>
                <w:rFonts w:ascii="Calibri" w:hAnsi="Calibri" w:cs="Calibri"/>
                <w:b w:val="0"/>
                <w:i w:val="0"/>
                <w:color w:val="0F172A"/>
                <w:sz w:val="20"/>
              </w:rPr>
              <w:t>Total</w:t>
            </w:r>
          </w:p>
        </w:tc>
        <w:tc>
          <w:tcPr>
            <w:tcW w:type="dxa" w:w="1134"/>
            <w:vAlign w:val="top"/>
          </w:tcPr>
          <w:p>
            <w:r/>
            <w:r>
              <w:rPr>
                <w:rFonts w:ascii="Calibri" w:hAnsi="Calibri" w:cs="Calibri"/>
                <w:b w:val="0"/>
                <w:i w:val="0"/>
                <w:color w:val="0F172A"/>
                <w:sz w:val="20"/>
              </w:rPr>
              <w:t>77</w:t>
            </w:r>
          </w:p>
        </w:tc>
        <w:tc>
          <w:tcPr>
            <w:tcW w:type="dxa" w:w="3118"/>
            <w:vAlign w:val="top"/>
          </w:tcPr>
          <w:p>
            <w:r/>
            <w:r>
              <w:rPr>
                <w:rFonts w:ascii="Calibri" w:hAnsi="Calibri" w:cs="Calibri"/>
                <w:b w:val="0"/>
                <w:i w:val="0"/>
                <w:color w:val="0F172A"/>
                <w:sz w:val="20"/>
              </w:rPr>
            </w:r>
          </w:p>
        </w:tc>
        <w:tc>
          <w:tcPr>
            <w:tcW w:type="dxa" w:w="1701"/>
            <w:vAlign w:val="top"/>
          </w:tcPr>
          <w:p>
            <w:r/>
            <w:r>
              <w:rPr>
                <w:rFonts w:ascii="Calibri" w:hAnsi="Calibri" w:cs="Calibri"/>
                <w:b w:val="0"/>
                <w:i w:val="0"/>
                <w:color w:val="0F172A"/>
                <w:sz w:val="20"/>
              </w:rPr>
            </w:r>
          </w:p>
        </w:tc>
      </w:tr>
    </w:tbl>
    <w:p>
      <w:pPr>
        <w:pStyle w:val="Heading2"/>
      </w:pPr>
      <w:r>
        <w:rPr>
          <w:rFonts w:ascii="Calibri" w:hAnsi="Calibri" w:cs="Calibri"/>
          <w:b/>
          <w:i w:val="0"/>
          <w:color w:val="8C2A1F"/>
          <w:sz w:val="28"/>
        </w:rPr>
        <w:t>9.2 Representative Test Cases (Excerpt)</w:t>
      </w:r>
    </w:p>
    <w:tbl>
      <w:tblPr>
        <w:tblStyle w:val="LightGrid-Accent1"/>
        <w:tblW w:type="auto" w:w="0"/>
        <w:tblLook w:firstColumn="1" w:firstRow="1" w:lastColumn="0" w:lastRow="0" w:noHBand="0" w:noVBand="1" w:val="04A0"/>
      </w:tblPr>
      <w:tblGrid>
        <w:gridCol w:w="3024"/>
        <w:gridCol w:w="3024"/>
        <w:gridCol w:w="3024"/>
      </w:tblGrid>
      <w:tr>
        <w:tc>
          <w:tcPr>
            <w:tcW w:type="dxa" w:w="1361"/>
            <w:shd w:fill="C0392B"/>
          </w:tcPr>
          <w:p>
            <w:r/>
            <w:r>
              <w:rPr>
                <w:rFonts w:ascii="Calibri" w:hAnsi="Calibri" w:cs="Calibri"/>
                <w:b/>
                <w:i w:val="0"/>
                <w:color w:val="FFFFFF"/>
                <w:sz w:val="21"/>
              </w:rPr>
              <w:t>ID</w:t>
            </w:r>
          </w:p>
        </w:tc>
        <w:tc>
          <w:tcPr>
            <w:tcW w:type="dxa" w:w="6236"/>
            <w:shd w:fill="C0392B"/>
          </w:tcPr>
          <w:p>
            <w:r/>
            <w:r>
              <w:rPr>
                <w:rFonts w:ascii="Calibri" w:hAnsi="Calibri" w:cs="Calibri"/>
                <w:b/>
                <w:i w:val="0"/>
                <w:color w:val="FFFFFF"/>
                <w:sz w:val="21"/>
              </w:rPr>
              <w:t>Description</w:t>
            </w:r>
          </w:p>
        </w:tc>
        <w:tc>
          <w:tcPr>
            <w:tcW w:type="dxa" w:w="1474"/>
            <w:shd w:fill="C0392B"/>
          </w:tcPr>
          <w:p>
            <w:r/>
            <w:r>
              <w:rPr>
                <w:rFonts w:ascii="Calibri" w:hAnsi="Calibri" w:cs="Calibri"/>
                <w:b/>
                <w:i w:val="0"/>
                <w:color w:val="FFFFFF"/>
                <w:sz w:val="21"/>
              </w:rPr>
              <w:t>Result</w:t>
            </w:r>
          </w:p>
        </w:tc>
      </w:tr>
      <w:tr>
        <w:tc>
          <w:tcPr>
            <w:tcW w:type="dxa" w:w="1361"/>
            <w:vAlign w:val="top"/>
          </w:tcPr>
          <w:p>
            <w:r/>
            <w:r>
              <w:rPr>
                <w:rFonts w:ascii="Calibri" w:hAnsi="Calibri" w:cs="Calibri"/>
                <w:b w:val="0"/>
                <w:i w:val="0"/>
                <w:color w:val="0F172A"/>
                <w:sz w:val="20"/>
              </w:rPr>
              <w:t>T-AUTH-01</w:t>
            </w:r>
          </w:p>
        </w:tc>
        <w:tc>
          <w:tcPr>
            <w:tcW w:type="dxa" w:w="6236"/>
            <w:vAlign w:val="top"/>
          </w:tcPr>
          <w:p>
            <w:r/>
            <w:r>
              <w:rPr>
                <w:rFonts w:ascii="Calibri" w:hAnsi="Calibri" w:cs="Calibri"/>
                <w:b w:val="0"/>
                <w:i w:val="0"/>
                <w:color w:val="0F172A"/>
                <w:sz w:val="20"/>
              </w:rPr>
              <w:t>Login with wrong password 5× → AUTH_RATE_LIMITED</w:t>
            </w:r>
          </w:p>
        </w:tc>
        <w:tc>
          <w:tcPr>
            <w:tcW w:type="dxa" w:w="1474"/>
            <w:vAlign w:val="top"/>
          </w:tcPr>
          <w:p>
            <w:r/>
            <w:r>
              <w:rPr>
                <w:rFonts w:ascii="Calibri" w:hAnsi="Calibri" w:cs="Calibri"/>
                <w:b w:val="0"/>
                <w:i w:val="0"/>
                <w:color w:val="0F172A"/>
                <w:sz w:val="20"/>
              </w:rPr>
              <w:t>PASS</w:t>
            </w:r>
          </w:p>
        </w:tc>
      </w:tr>
      <w:tr>
        <w:tc>
          <w:tcPr>
            <w:tcW w:type="dxa" w:w="1361"/>
            <w:vAlign w:val="top"/>
          </w:tcPr>
          <w:p>
            <w:r/>
            <w:r>
              <w:rPr>
                <w:rFonts w:ascii="Calibri" w:hAnsi="Calibri" w:cs="Calibri"/>
                <w:b w:val="0"/>
                <w:i w:val="0"/>
                <w:color w:val="0F172A"/>
                <w:sz w:val="20"/>
              </w:rPr>
              <w:t>T-AUTH-02</w:t>
            </w:r>
          </w:p>
        </w:tc>
        <w:tc>
          <w:tcPr>
            <w:tcW w:type="dxa" w:w="6236"/>
            <w:vAlign w:val="top"/>
          </w:tcPr>
          <w:p>
            <w:r/>
            <w:r>
              <w:rPr>
                <w:rFonts w:ascii="Calibri" w:hAnsi="Calibri" w:cs="Calibri"/>
                <w:b w:val="0"/>
                <w:i w:val="0"/>
                <w:color w:val="0F172A"/>
                <w:sz w:val="20"/>
              </w:rPr>
              <w:t>First-time login forces /change-password route</w:t>
            </w:r>
          </w:p>
        </w:tc>
        <w:tc>
          <w:tcPr>
            <w:tcW w:type="dxa" w:w="1474"/>
            <w:vAlign w:val="top"/>
          </w:tcPr>
          <w:p>
            <w:r/>
            <w:r>
              <w:rPr>
                <w:rFonts w:ascii="Calibri" w:hAnsi="Calibri" w:cs="Calibri"/>
                <w:b w:val="0"/>
                <w:i w:val="0"/>
                <w:color w:val="0F172A"/>
                <w:sz w:val="20"/>
              </w:rPr>
              <w:t>PASS</w:t>
            </w:r>
          </w:p>
        </w:tc>
      </w:tr>
      <w:tr>
        <w:tc>
          <w:tcPr>
            <w:tcW w:type="dxa" w:w="1361"/>
            <w:vAlign w:val="top"/>
          </w:tcPr>
          <w:p>
            <w:r/>
            <w:r>
              <w:rPr>
                <w:rFonts w:ascii="Calibri" w:hAnsi="Calibri" w:cs="Calibri"/>
                <w:b w:val="0"/>
                <w:i w:val="0"/>
                <w:color w:val="0F172A"/>
                <w:sz w:val="20"/>
              </w:rPr>
              <w:t>T-AUTH-03</w:t>
            </w:r>
          </w:p>
        </w:tc>
        <w:tc>
          <w:tcPr>
            <w:tcW w:type="dxa" w:w="6236"/>
            <w:vAlign w:val="top"/>
          </w:tcPr>
          <w:p>
            <w:r/>
            <w:r>
              <w:rPr>
                <w:rFonts w:ascii="Calibri" w:hAnsi="Calibri" w:cs="Calibri"/>
                <w:b w:val="0"/>
                <w:i w:val="0"/>
                <w:color w:val="0F172A"/>
                <w:sz w:val="20"/>
              </w:rPr>
              <w:t>Password reset PKCE callback consumes one-time code</w:t>
            </w:r>
          </w:p>
        </w:tc>
        <w:tc>
          <w:tcPr>
            <w:tcW w:type="dxa" w:w="1474"/>
            <w:vAlign w:val="top"/>
          </w:tcPr>
          <w:p>
            <w:r/>
            <w:r>
              <w:rPr>
                <w:rFonts w:ascii="Calibri" w:hAnsi="Calibri" w:cs="Calibri"/>
                <w:b w:val="0"/>
                <w:i w:val="0"/>
                <w:color w:val="0F172A"/>
                <w:sz w:val="20"/>
              </w:rPr>
              <w:t>PASS</w:t>
            </w:r>
          </w:p>
        </w:tc>
      </w:tr>
      <w:tr>
        <w:tc>
          <w:tcPr>
            <w:tcW w:type="dxa" w:w="1361"/>
            <w:vAlign w:val="top"/>
          </w:tcPr>
          <w:p>
            <w:r/>
            <w:r>
              <w:rPr>
                <w:rFonts w:ascii="Calibri" w:hAnsi="Calibri" w:cs="Calibri"/>
                <w:b w:val="0"/>
                <w:i w:val="0"/>
                <w:color w:val="0F172A"/>
                <w:sz w:val="20"/>
              </w:rPr>
              <w:t>T-FILE-04</w:t>
            </w:r>
          </w:p>
        </w:tc>
        <w:tc>
          <w:tcPr>
            <w:tcW w:type="dxa" w:w="6236"/>
            <w:vAlign w:val="top"/>
          </w:tcPr>
          <w:p>
            <w:r/>
            <w:r>
              <w:rPr>
                <w:rFonts w:ascii="Calibri" w:hAnsi="Calibri" w:cs="Calibri"/>
                <w:b w:val="0"/>
                <w:i w:val="0"/>
                <w:color w:val="0F172A"/>
                <w:sz w:val="20"/>
              </w:rPr>
              <w:t>Upload PDF &gt; 25 MB → FILE_TOO_LARGE</w:t>
            </w:r>
          </w:p>
        </w:tc>
        <w:tc>
          <w:tcPr>
            <w:tcW w:type="dxa" w:w="1474"/>
            <w:vAlign w:val="top"/>
          </w:tcPr>
          <w:p>
            <w:r/>
            <w:r>
              <w:rPr>
                <w:rFonts w:ascii="Calibri" w:hAnsi="Calibri" w:cs="Calibri"/>
                <w:b w:val="0"/>
                <w:i w:val="0"/>
                <w:color w:val="0F172A"/>
                <w:sz w:val="20"/>
              </w:rPr>
              <w:t>PASS</w:t>
            </w:r>
          </w:p>
        </w:tc>
      </w:tr>
      <w:tr>
        <w:tc>
          <w:tcPr>
            <w:tcW w:type="dxa" w:w="1361"/>
            <w:vAlign w:val="top"/>
          </w:tcPr>
          <w:p>
            <w:r/>
            <w:r>
              <w:rPr>
                <w:rFonts w:ascii="Calibri" w:hAnsi="Calibri" w:cs="Calibri"/>
                <w:b w:val="0"/>
                <w:i w:val="0"/>
                <w:color w:val="0F172A"/>
                <w:sz w:val="20"/>
              </w:rPr>
              <w:t>T-FILE-05</w:t>
            </w:r>
          </w:p>
        </w:tc>
        <w:tc>
          <w:tcPr>
            <w:tcW w:type="dxa" w:w="6236"/>
            <w:vAlign w:val="top"/>
          </w:tcPr>
          <w:p>
            <w:r/>
            <w:r>
              <w:rPr>
                <w:rFonts w:ascii="Calibri" w:hAnsi="Calibri" w:cs="Calibri"/>
                <w:b w:val="0"/>
                <w:i w:val="0"/>
                <w:color w:val="0F172A"/>
                <w:sz w:val="20"/>
              </w:rPr>
              <w:t>Soft-deleted file returns 404 from /d/[id] proxy</w:t>
            </w:r>
          </w:p>
        </w:tc>
        <w:tc>
          <w:tcPr>
            <w:tcW w:type="dxa" w:w="1474"/>
            <w:vAlign w:val="top"/>
          </w:tcPr>
          <w:p>
            <w:r/>
            <w:r>
              <w:rPr>
                <w:rFonts w:ascii="Calibri" w:hAnsi="Calibri" w:cs="Calibri"/>
                <w:b w:val="0"/>
                <w:i w:val="0"/>
                <w:color w:val="0F172A"/>
                <w:sz w:val="20"/>
              </w:rPr>
              <w:t>PASS</w:t>
            </w:r>
          </w:p>
        </w:tc>
      </w:tr>
      <w:tr>
        <w:tc>
          <w:tcPr>
            <w:tcW w:type="dxa" w:w="1361"/>
            <w:vAlign w:val="top"/>
          </w:tcPr>
          <w:p>
            <w:r/>
            <w:r>
              <w:rPr>
                <w:rFonts w:ascii="Calibri" w:hAnsi="Calibri" w:cs="Calibri"/>
                <w:b w:val="0"/>
                <w:i w:val="0"/>
                <w:color w:val="0F172A"/>
                <w:sz w:val="20"/>
              </w:rPr>
              <w:t>T-EXAM-06</w:t>
            </w:r>
          </w:p>
        </w:tc>
        <w:tc>
          <w:tcPr>
            <w:tcW w:type="dxa" w:w="6236"/>
            <w:vAlign w:val="top"/>
          </w:tcPr>
          <w:p>
            <w:r/>
            <w:r>
              <w:rPr>
                <w:rFonts w:ascii="Calibri" w:hAnsi="Calibri" w:cs="Calibri"/>
                <w:b w:val="0"/>
                <w:i w:val="0"/>
                <w:color w:val="0F172A"/>
                <w:sz w:val="20"/>
              </w:rPr>
              <w:t>Five-step wizard creates exam + sessions + assignments atomically</w:t>
            </w:r>
          </w:p>
        </w:tc>
        <w:tc>
          <w:tcPr>
            <w:tcW w:type="dxa" w:w="1474"/>
            <w:vAlign w:val="top"/>
          </w:tcPr>
          <w:p>
            <w:r/>
            <w:r>
              <w:rPr>
                <w:rFonts w:ascii="Calibri" w:hAnsi="Calibri" w:cs="Calibri"/>
                <w:b w:val="0"/>
                <w:i w:val="0"/>
                <w:color w:val="0F172A"/>
                <w:sz w:val="20"/>
              </w:rPr>
              <w:t>PASS</w:t>
            </w:r>
          </w:p>
        </w:tc>
      </w:tr>
      <w:tr>
        <w:tc>
          <w:tcPr>
            <w:tcW w:type="dxa" w:w="1361"/>
            <w:vAlign w:val="top"/>
          </w:tcPr>
          <w:p>
            <w:r/>
            <w:r>
              <w:rPr>
                <w:rFonts w:ascii="Calibri" w:hAnsi="Calibri" w:cs="Calibri"/>
                <w:b w:val="0"/>
                <w:i w:val="0"/>
                <w:color w:val="0F172A"/>
                <w:sz w:val="20"/>
              </w:rPr>
              <w:t>T-EXAM-07</w:t>
            </w:r>
          </w:p>
        </w:tc>
        <w:tc>
          <w:tcPr>
            <w:tcW w:type="dxa" w:w="6236"/>
            <w:vAlign w:val="top"/>
          </w:tcPr>
          <w:p>
            <w:r/>
            <w:r>
              <w:rPr>
                <w:rFonts w:ascii="Calibri" w:hAnsi="Calibri" w:cs="Calibri"/>
                <w:b w:val="0"/>
                <w:i w:val="0"/>
                <w:color w:val="0F172A"/>
                <w:sz w:val="20"/>
              </w:rPr>
              <w:t>Live monitor renders bounding boxes with &lt;2 s latency from AI service</w:t>
            </w:r>
          </w:p>
        </w:tc>
        <w:tc>
          <w:tcPr>
            <w:tcW w:type="dxa" w:w="1474"/>
            <w:vAlign w:val="top"/>
          </w:tcPr>
          <w:p>
            <w:r/>
            <w:r>
              <w:rPr>
                <w:rFonts w:ascii="Calibri" w:hAnsi="Calibri" w:cs="Calibri"/>
                <w:b w:val="0"/>
                <w:i w:val="0"/>
                <w:color w:val="0F172A"/>
                <w:sz w:val="20"/>
              </w:rPr>
              <w:t>PASS</w:t>
            </w:r>
          </w:p>
        </w:tc>
      </w:tr>
      <w:tr>
        <w:tc>
          <w:tcPr>
            <w:tcW w:type="dxa" w:w="1361"/>
            <w:vAlign w:val="top"/>
          </w:tcPr>
          <w:p>
            <w:r/>
            <w:r>
              <w:rPr>
                <w:rFonts w:ascii="Calibri" w:hAnsi="Calibri" w:cs="Calibri"/>
                <w:b w:val="0"/>
                <w:i w:val="0"/>
                <w:color w:val="0F172A"/>
                <w:sz w:val="20"/>
              </w:rPr>
              <w:t>T-INC-08</w:t>
            </w:r>
          </w:p>
        </w:tc>
        <w:tc>
          <w:tcPr>
            <w:tcW w:type="dxa" w:w="6236"/>
            <w:vAlign w:val="top"/>
          </w:tcPr>
          <w:p>
            <w:r/>
            <w:r>
              <w:rPr>
                <w:rFonts w:ascii="Calibri" w:hAnsi="Calibri" w:cs="Calibri"/>
                <w:b w:val="0"/>
                <w:i w:val="0"/>
                <w:color w:val="0F172A"/>
                <w:sz w:val="20"/>
              </w:rPr>
              <w:t>phone_in_hand rule fires after 3 s overlap, cooldown of 30 s respected</w:t>
            </w:r>
          </w:p>
        </w:tc>
        <w:tc>
          <w:tcPr>
            <w:tcW w:type="dxa" w:w="1474"/>
            <w:vAlign w:val="top"/>
          </w:tcPr>
          <w:p>
            <w:r/>
            <w:r>
              <w:rPr>
                <w:rFonts w:ascii="Calibri" w:hAnsi="Calibri" w:cs="Calibri"/>
                <w:b w:val="0"/>
                <w:i w:val="0"/>
                <w:color w:val="0F172A"/>
                <w:sz w:val="20"/>
              </w:rPr>
              <w:t>PASS</w:t>
            </w:r>
          </w:p>
        </w:tc>
      </w:tr>
      <w:tr>
        <w:tc>
          <w:tcPr>
            <w:tcW w:type="dxa" w:w="1361"/>
            <w:vAlign w:val="top"/>
          </w:tcPr>
          <w:p>
            <w:r/>
            <w:r>
              <w:rPr>
                <w:rFonts w:ascii="Calibri" w:hAnsi="Calibri" w:cs="Calibri"/>
                <w:b w:val="0"/>
                <w:i w:val="0"/>
                <w:color w:val="0F172A"/>
                <w:sz w:val="20"/>
              </w:rPr>
              <w:t>T-INC-09</w:t>
            </w:r>
          </w:p>
        </w:tc>
        <w:tc>
          <w:tcPr>
            <w:tcW w:type="dxa" w:w="6236"/>
            <w:vAlign w:val="top"/>
          </w:tcPr>
          <w:p>
            <w:r/>
            <w:r>
              <w:rPr>
                <w:rFonts w:ascii="Calibri" w:hAnsi="Calibri" w:cs="Calibri"/>
                <w:b w:val="0"/>
                <w:i w:val="0"/>
                <w:color w:val="0F172A"/>
                <w:sz w:val="20"/>
              </w:rPr>
              <w:t>gaze_diversion 5-min sliding window: 3 glances → MEDIUM, 6 → HIGH</w:t>
            </w:r>
          </w:p>
        </w:tc>
        <w:tc>
          <w:tcPr>
            <w:tcW w:type="dxa" w:w="1474"/>
            <w:vAlign w:val="top"/>
          </w:tcPr>
          <w:p>
            <w:r/>
            <w:r>
              <w:rPr>
                <w:rFonts w:ascii="Calibri" w:hAnsi="Calibri" w:cs="Calibri"/>
                <w:b w:val="0"/>
                <w:i w:val="0"/>
                <w:color w:val="0F172A"/>
                <w:sz w:val="20"/>
              </w:rPr>
              <w:t>PASS</w:t>
            </w:r>
          </w:p>
        </w:tc>
      </w:tr>
      <w:tr>
        <w:tc>
          <w:tcPr>
            <w:tcW w:type="dxa" w:w="1361"/>
            <w:vAlign w:val="top"/>
          </w:tcPr>
          <w:p>
            <w:r/>
            <w:r>
              <w:rPr>
                <w:rFonts w:ascii="Calibri" w:hAnsi="Calibri" w:cs="Calibri"/>
                <w:b w:val="0"/>
                <w:i w:val="0"/>
                <w:color w:val="0F172A"/>
                <w:sz w:val="20"/>
              </w:rPr>
              <w:t>T-INC-10</w:t>
            </w:r>
          </w:p>
        </w:tc>
        <w:tc>
          <w:tcPr>
            <w:tcW w:type="dxa" w:w="6236"/>
            <w:vAlign w:val="top"/>
          </w:tcPr>
          <w:p>
            <w:r/>
            <w:r>
              <w:rPr>
                <w:rFonts w:ascii="Calibri" w:hAnsi="Calibri" w:cs="Calibri"/>
                <w:b w:val="0"/>
                <w:i w:val="0"/>
                <w:color w:val="0F172A"/>
                <w:sz w:val="20"/>
              </w:rPr>
              <w:t>empty_seat after 60 s lost → incident written to DB + evidence uploaded</w:t>
            </w:r>
          </w:p>
        </w:tc>
        <w:tc>
          <w:tcPr>
            <w:tcW w:type="dxa" w:w="1474"/>
            <w:vAlign w:val="top"/>
          </w:tcPr>
          <w:p>
            <w:r/>
            <w:r>
              <w:rPr>
                <w:rFonts w:ascii="Calibri" w:hAnsi="Calibri" w:cs="Calibri"/>
                <w:b w:val="0"/>
                <w:i w:val="0"/>
                <w:color w:val="0F172A"/>
                <w:sz w:val="20"/>
              </w:rPr>
              <w:t>PASS</w:t>
            </w:r>
          </w:p>
        </w:tc>
      </w:tr>
      <w:tr>
        <w:tc>
          <w:tcPr>
            <w:tcW w:type="dxa" w:w="1361"/>
            <w:vAlign w:val="top"/>
          </w:tcPr>
          <w:p>
            <w:r/>
            <w:r>
              <w:rPr>
                <w:rFonts w:ascii="Calibri" w:hAnsi="Calibri" w:cs="Calibri"/>
                <w:b w:val="0"/>
                <w:i w:val="0"/>
                <w:color w:val="0F172A"/>
                <w:sz w:val="20"/>
              </w:rPr>
              <w:t>T-INC-11</w:t>
            </w:r>
          </w:p>
        </w:tc>
        <w:tc>
          <w:tcPr>
            <w:tcW w:type="dxa" w:w="6236"/>
            <w:vAlign w:val="top"/>
          </w:tcPr>
          <w:p>
            <w:r/>
            <w:r>
              <w:rPr>
                <w:rFonts w:ascii="Calibri" w:hAnsi="Calibri" w:cs="Calibri"/>
                <w:b w:val="0"/>
                <w:i w:val="0"/>
                <w:color w:val="0F172A"/>
                <w:sz w:val="20"/>
              </w:rPr>
              <w:t>Proctor decision modal records decided_by, decided_at, decision_note</w:t>
            </w:r>
          </w:p>
        </w:tc>
        <w:tc>
          <w:tcPr>
            <w:tcW w:type="dxa" w:w="1474"/>
            <w:vAlign w:val="top"/>
          </w:tcPr>
          <w:p>
            <w:r/>
            <w:r>
              <w:rPr>
                <w:rFonts w:ascii="Calibri" w:hAnsi="Calibri" w:cs="Calibri"/>
                <w:b w:val="0"/>
                <w:i w:val="0"/>
                <w:color w:val="0F172A"/>
                <w:sz w:val="20"/>
              </w:rPr>
              <w:t>PASS</w:t>
            </w:r>
          </w:p>
        </w:tc>
      </w:tr>
      <w:tr>
        <w:tc>
          <w:tcPr>
            <w:tcW w:type="dxa" w:w="1361"/>
            <w:vAlign w:val="top"/>
          </w:tcPr>
          <w:p>
            <w:r/>
            <w:r>
              <w:rPr>
                <w:rFonts w:ascii="Calibri" w:hAnsi="Calibri" w:cs="Calibri"/>
                <w:b w:val="0"/>
                <w:i w:val="0"/>
                <w:color w:val="0F172A"/>
                <w:sz w:val="20"/>
              </w:rPr>
              <w:t>T-AI-12</w:t>
            </w:r>
          </w:p>
        </w:tc>
        <w:tc>
          <w:tcPr>
            <w:tcW w:type="dxa" w:w="6236"/>
            <w:vAlign w:val="top"/>
          </w:tcPr>
          <w:p>
            <w:r/>
            <w:r>
              <w:rPr>
                <w:rFonts w:ascii="Calibri" w:hAnsi="Calibri" w:cs="Calibri"/>
                <w:b w:val="0"/>
                <w:i w:val="0"/>
                <w:color w:val="0F172A"/>
                <w:sz w:val="20"/>
              </w:rPr>
              <w:t>WebSocket protocol v1.1 reject mismatched client version with explicit error code</w:t>
            </w:r>
          </w:p>
        </w:tc>
        <w:tc>
          <w:tcPr>
            <w:tcW w:type="dxa" w:w="1474"/>
            <w:vAlign w:val="top"/>
          </w:tcPr>
          <w:p>
            <w:r/>
            <w:r>
              <w:rPr>
                <w:rFonts w:ascii="Calibri" w:hAnsi="Calibri" w:cs="Calibri"/>
                <w:b w:val="0"/>
                <w:i w:val="0"/>
                <w:color w:val="0F172A"/>
                <w:sz w:val="20"/>
              </w:rPr>
              <w:t>PASS</w:t>
            </w:r>
          </w:p>
        </w:tc>
      </w:tr>
      <w:tr>
        <w:tc>
          <w:tcPr>
            <w:tcW w:type="dxa" w:w="1361"/>
            <w:vAlign w:val="top"/>
          </w:tcPr>
          <w:p>
            <w:r/>
            <w:r>
              <w:rPr>
                <w:rFonts w:ascii="Calibri" w:hAnsi="Calibri" w:cs="Calibri"/>
                <w:b w:val="0"/>
                <w:i w:val="0"/>
                <w:color w:val="0F172A"/>
                <w:sz w:val="20"/>
              </w:rPr>
              <w:t>T-AI-13</w:t>
            </w:r>
          </w:p>
        </w:tc>
        <w:tc>
          <w:tcPr>
            <w:tcW w:type="dxa" w:w="6236"/>
            <w:vAlign w:val="top"/>
          </w:tcPr>
          <w:p>
            <w:r/>
            <w:r>
              <w:rPr>
                <w:rFonts w:ascii="Calibri" w:hAnsi="Calibri" w:cs="Calibri"/>
                <w:b w:val="0"/>
                <w:i w:val="0"/>
                <w:color w:val="0F172A"/>
                <w:sz w:val="20"/>
              </w:rPr>
              <w:t>Worker pool drops oldest frame under backpressure (BL-319)</w:t>
            </w:r>
          </w:p>
        </w:tc>
        <w:tc>
          <w:tcPr>
            <w:tcW w:type="dxa" w:w="1474"/>
            <w:vAlign w:val="top"/>
          </w:tcPr>
          <w:p>
            <w:r/>
            <w:r>
              <w:rPr>
                <w:rFonts w:ascii="Calibri" w:hAnsi="Calibri" w:cs="Calibri"/>
                <w:b w:val="0"/>
                <w:i w:val="0"/>
                <w:color w:val="0F172A"/>
                <w:sz w:val="20"/>
              </w:rPr>
              <w:t>PASS</w:t>
            </w:r>
          </w:p>
        </w:tc>
      </w:tr>
      <w:tr>
        <w:tc>
          <w:tcPr>
            <w:tcW w:type="dxa" w:w="1361"/>
            <w:vAlign w:val="top"/>
          </w:tcPr>
          <w:p>
            <w:r/>
            <w:r>
              <w:rPr>
                <w:rFonts w:ascii="Calibri" w:hAnsi="Calibri" w:cs="Calibri"/>
                <w:b w:val="0"/>
                <w:i w:val="0"/>
                <w:color w:val="0F172A"/>
                <w:sz w:val="20"/>
              </w:rPr>
              <w:t>T-INFRA-14</w:t>
            </w:r>
          </w:p>
        </w:tc>
        <w:tc>
          <w:tcPr>
            <w:tcW w:type="dxa" w:w="6236"/>
            <w:vAlign w:val="top"/>
          </w:tcPr>
          <w:p>
            <w:r/>
            <w:r>
              <w:rPr>
                <w:rFonts w:ascii="Calibri" w:hAnsi="Calibri" w:cs="Calibri"/>
                <w:b w:val="0"/>
                <w:i w:val="0"/>
                <w:color w:val="0F172A"/>
                <w:sz w:val="20"/>
              </w:rPr>
              <w:t>ECS rolling deploy keeps minHealthyPercent=100 during release</w:t>
            </w:r>
          </w:p>
        </w:tc>
        <w:tc>
          <w:tcPr>
            <w:tcW w:type="dxa" w:w="1474"/>
            <w:vAlign w:val="top"/>
          </w:tcPr>
          <w:p>
            <w:r/>
            <w:r>
              <w:rPr>
                <w:rFonts w:ascii="Calibri" w:hAnsi="Calibri" w:cs="Calibri"/>
                <w:b w:val="0"/>
                <w:i w:val="0"/>
                <w:color w:val="0F172A"/>
                <w:sz w:val="20"/>
              </w:rPr>
              <w:t>PASS</w:t>
            </w:r>
          </w:p>
        </w:tc>
      </w:tr>
      <w:tr>
        <w:tc>
          <w:tcPr>
            <w:tcW w:type="dxa" w:w="1361"/>
            <w:vAlign w:val="top"/>
          </w:tcPr>
          <w:p>
            <w:r/>
            <w:r>
              <w:rPr>
                <w:rFonts w:ascii="Calibri" w:hAnsi="Calibri" w:cs="Calibri"/>
                <w:b w:val="0"/>
                <w:i w:val="0"/>
                <w:color w:val="0F172A"/>
                <w:sz w:val="20"/>
              </w:rPr>
              <w:t>T-INFRA-15</w:t>
            </w:r>
          </w:p>
        </w:tc>
        <w:tc>
          <w:tcPr>
            <w:tcW w:type="dxa" w:w="6236"/>
            <w:vAlign w:val="top"/>
          </w:tcPr>
          <w:p>
            <w:r/>
            <w:r>
              <w:rPr>
                <w:rFonts w:ascii="Calibri" w:hAnsi="Calibri" w:cs="Calibri"/>
                <w:b w:val="0"/>
                <w:i w:val="0"/>
                <w:color w:val="0F172A"/>
                <w:sz w:val="20"/>
              </w:rPr>
              <w:t>supabase db push failure aborts deploy before ECS is touched</w:t>
            </w:r>
          </w:p>
        </w:tc>
        <w:tc>
          <w:tcPr>
            <w:tcW w:type="dxa" w:w="1474"/>
            <w:vAlign w:val="top"/>
          </w:tcPr>
          <w:p>
            <w:r/>
            <w:r>
              <w:rPr>
                <w:rFonts w:ascii="Calibri" w:hAnsi="Calibri" w:cs="Calibri"/>
                <w:b w:val="0"/>
                <w:i w:val="0"/>
                <w:color w:val="0F172A"/>
                <w:sz w:val="20"/>
              </w:rPr>
              <w:t>PASS</w:t>
            </w:r>
          </w:p>
        </w:tc>
      </w:tr>
      <w:tr>
        <w:tc>
          <w:tcPr>
            <w:tcW w:type="dxa" w:w="1361"/>
            <w:vAlign w:val="top"/>
          </w:tcPr>
          <w:p>
            <w:r/>
            <w:r>
              <w:rPr>
                <w:rFonts w:ascii="Calibri" w:hAnsi="Calibri" w:cs="Calibri"/>
                <w:b w:val="0"/>
                <w:i w:val="0"/>
                <w:color w:val="0F172A"/>
                <w:sz w:val="20"/>
              </w:rPr>
              <w:t>T-SEC-16</w:t>
            </w:r>
          </w:p>
        </w:tc>
        <w:tc>
          <w:tcPr>
            <w:tcW w:type="dxa" w:w="6236"/>
            <w:vAlign w:val="top"/>
          </w:tcPr>
          <w:p>
            <w:r/>
            <w:r>
              <w:rPr>
                <w:rFonts w:ascii="Calibri" w:hAnsi="Calibri" w:cs="Calibri"/>
                <w:b w:val="0"/>
                <w:i w:val="0"/>
                <w:color w:val="0F172A"/>
                <w:sz w:val="20"/>
              </w:rPr>
              <w:t>RLS: supervisor cannot read incidents from a session they are not assigned to</w:t>
            </w:r>
          </w:p>
        </w:tc>
        <w:tc>
          <w:tcPr>
            <w:tcW w:type="dxa" w:w="1474"/>
            <w:vAlign w:val="top"/>
          </w:tcPr>
          <w:p>
            <w:r/>
            <w:r>
              <w:rPr>
                <w:rFonts w:ascii="Calibri" w:hAnsi="Calibri" w:cs="Calibri"/>
                <w:b w:val="0"/>
                <w:i w:val="0"/>
                <w:color w:val="0F172A"/>
                <w:sz w:val="20"/>
              </w:rPr>
              <w:t>PASS</w:t>
            </w:r>
          </w:p>
        </w:tc>
      </w:tr>
      <w:tr>
        <w:tc>
          <w:tcPr>
            <w:tcW w:type="dxa" w:w="1361"/>
            <w:vAlign w:val="top"/>
          </w:tcPr>
          <w:p>
            <w:r/>
            <w:r>
              <w:rPr>
                <w:rFonts w:ascii="Calibri" w:hAnsi="Calibri" w:cs="Calibri"/>
                <w:b w:val="0"/>
                <w:i w:val="0"/>
                <w:color w:val="0F172A"/>
                <w:sz w:val="20"/>
              </w:rPr>
              <w:t>T-SEC-17</w:t>
            </w:r>
          </w:p>
        </w:tc>
        <w:tc>
          <w:tcPr>
            <w:tcW w:type="dxa" w:w="6236"/>
            <w:vAlign w:val="top"/>
          </w:tcPr>
          <w:p>
            <w:r/>
            <w:r>
              <w:rPr>
                <w:rFonts w:ascii="Calibri" w:hAnsi="Calibri" w:cs="Calibri"/>
                <w:b w:val="0"/>
                <w:i w:val="0"/>
                <w:color w:val="0F172A"/>
                <w:sz w:val="20"/>
              </w:rPr>
              <w:t>audit_logs table rejects UPDATE / DELETE attempts from service role</w:t>
            </w:r>
          </w:p>
        </w:tc>
        <w:tc>
          <w:tcPr>
            <w:tcW w:type="dxa" w:w="1474"/>
            <w:vAlign w:val="top"/>
          </w:tcPr>
          <w:p>
            <w:r/>
            <w:r>
              <w:rPr>
                <w:rFonts w:ascii="Calibri" w:hAnsi="Calibri" w:cs="Calibri"/>
                <w:b w:val="0"/>
                <w:i w:val="0"/>
                <w:color w:val="0F172A"/>
                <w:sz w:val="20"/>
              </w:rPr>
              <w:t>PASS</w:t>
            </w:r>
          </w:p>
        </w:tc>
      </w:tr>
      <w:tr>
        <w:tc>
          <w:tcPr>
            <w:tcW w:type="dxa" w:w="1361"/>
            <w:vAlign w:val="top"/>
          </w:tcPr>
          <w:p>
            <w:r/>
            <w:r>
              <w:rPr>
                <w:rFonts w:ascii="Calibri" w:hAnsi="Calibri" w:cs="Calibri"/>
                <w:b w:val="0"/>
                <w:i w:val="0"/>
                <w:color w:val="0F172A"/>
                <w:sz w:val="20"/>
              </w:rPr>
              <w:t>T-PERF-18</w:t>
            </w:r>
          </w:p>
        </w:tc>
        <w:tc>
          <w:tcPr>
            <w:tcW w:type="dxa" w:w="6236"/>
            <w:vAlign w:val="top"/>
          </w:tcPr>
          <w:p>
            <w:r/>
            <w:r>
              <w:rPr>
                <w:rFonts w:ascii="Calibri" w:hAnsi="Calibri" w:cs="Calibri"/>
                <w:b w:val="0"/>
                <w:i w:val="0"/>
                <w:color w:val="0F172A"/>
                <w:sz w:val="20"/>
              </w:rPr>
              <w:t>AI service sustains 5 FPS × 3 cameras at ≤ 60 % CPU</w:t>
            </w:r>
          </w:p>
        </w:tc>
        <w:tc>
          <w:tcPr>
            <w:tcW w:type="dxa" w:w="1474"/>
            <w:vAlign w:val="top"/>
          </w:tcPr>
          <w:p>
            <w:r/>
            <w:r>
              <w:rPr>
                <w:rFonts w:ascii="Calibri" w:hAnsi="Calibri" w:cs="Calibri"/>
                <w:b w:val="0"/>
                <w:i w:val="0"/>
                <w:color w:val="0F172A"/>
                <w:sz w:val="20"/>
              </w:rPr>
              <w:t>PASS (margin)</w:t>
            </w:r>
          </w:p>
        </w:tc>
      </w:tr>
      <w:tr>
        <w:tc>
          <w:tcPr>
            <w:tcW w:type="dxa" w:w="1361"/>
            <w:vAlign w:val="top"/>
          </w:tcPr>
          <w:p>
            <w:r/>
            <w:r>
              <w:rPr>
                <w:rFonts w:ascii="Calibri" w:hAnsi="Calibri" w:cs="Calibri"/>
                <w:b w:val="0"/>
                <w:i w:val="0"/>
                <w:color w:val="0F172A"/>
                <w:sz w:val="20"/>
              </w:rPr>
              <w:t>T-PWA-19</w:t>
            </w:r>
          </w:p>
        </w:tc>
        <w:tc>
          <w:tcPr>
            <w:tcW w:type="dxa" w:w="6236"/>
            <w:vAlign w:val="top"/>
          </w:tcPr>
          <w:p>
            <w:r/>
            <w:r>
              <w:rPr>
                <w:rFonts w:ascii="Calibri" w:hAnsi="Calibri" w:cs="Calibri"/>
                <w:b w:val="0"/>
                <w:i w:val="0"/>
                <w:color w:val="0F172A"/>
                <w:sz w:val="20"/>
              </w:rPr>
              <w:t>Public docs page resolves from service worker cache when offline</w:t>
            </w:r>
          </w:p>
        </w:tc>
        <w:tc>
          <w:tcPr>
            <w:tcW w:type="dxa" w:w="1474"/>
            <w:vAlign w:val="top"/>
          </w:tcPr>
          <w:p>
            <w:r/>
            <w:r>
              <w:rPr>
                <w:rFonts w:ascii="Calibri" w:hAnsi="Calibri" w:cs="Calibri"/>
                <w:b w:val="0"/>
                <w:i w:val="0"/>
                <w:color w:val="0F172A"/>
                <w:sz w:val="20"/>
              </w:rPr>
              <w:t>PASS</w:t>
            </w:r>
          </w:p>
        </w:tc>
      </w:tr>
      <w:tr>
        <w:tc>
          <w:tcPr>
            <w:tcW w:type="dxa" w:w="1361"/>
            <w:vAlign w:val="top"/>
          </w:tcPr>
          <w:p>
            <w:r/>
            <w:r>
              <w:rPr>
                <w:rFonts w:ascii="Calibri" w:hAnsi="Calibri" w:cs="Calibri"/>
                <w:b w:val="0"/>
                <w:i w:val="0"/>
                <w:color w:val="0F172A"/>
                <w:sz w:val="20"/>
              </w:rPr>
              <w:t>T-CAM-20</w:t>
            </w:r>
          </w:p>
        </w:tc>
        <w:tc>
          <w:tcPr>
            <w:tcW w:type="dxa" w:w="6236"/>
            <w:vAlign w:val="top"/>
          </w:tcPr>
          <w:p>
            <w:r/>
            <w:r>
              <w:rPr>
                <w:rFonts w:ascii="Calibri" w:hAnsi="Calibri" w:cs="Calibri"/>
                <w:b w:val="0"/>
                <w:i w:val="0"/>
                <w:color w:val="0F172A"/>
                <w:sz w:val="20"/>
              </w:rPr>
              <w:t>Phone-as-camera auto-reconnect surfaces Reconnect button after retries exhaust</w:t>
            </w:r>
          </w:p>
        </w:tc>
        <w:tc>
          <w:tcPr>
            <w:tcW w:type="dxa" w:w="1474"/>
            <w:vAlign w:val="top"/>
          </w:tcPr>
          <w:p>
            <w:r/>
            <w:r>
              <w:rPr>
                <w:rFonts w:ascii="Calibri" w:hAnsi="Calibri" w:cs="Calibri"/>
                <w:b w:val="0"/>
                <w:i w:val="0"/>
                <w:color w:val="0F172A"/>
                <w:sz w:val="20"/>
              </w:rPr>
              <w:t>PASS</w:t>
            </w:r>
          </w:p>
        </w:tc>
      </w:tr>
    </w:tbl>
    <w:p>
      <w:pPr>
        <w:spacing w:after="120" w:line="300" w:lineRule="auto"/>
      </w:pPr>
      <w:r>
        <w:rPr>
          <w:rFonts w:ascii="Calibri" w:hAnsi="Calibri" w:cs="Calibri"/>
          <w:b w:val="0"/>
          <w:i w:val="0"/>
          <w:color w:val="0F172A"/>
          <w:sz w:val="22"/>
        </w:rPr>
        <w:t>The complete machine-readable test inventory is in the repository under portal/tests and ai-service/tests; CI regenerates the result tables on every pull request to main or develop. The numbers above are the representative cross-section drawn from the Test Plan (D5).</w:t>
      </w:r>
    </w:p>
    <w:p>
      <w:pPr>
        <w:pStyle w:val="Heading2"/>
      </w:pPr>
      <w:r>
        <w:rPr>
          <w:rFonts w:ascii="Calibri" w:hAnsi="Calibri" w:cs="Calibri"/>
          <w:b/>
          <w:i w:val="0"/>
          <w:color w:val="8C2A1F"/>
          <w:sz w:val="28"/>
        </w:rPr>
        <w:t>9.3 Assessment of Failures and Outstanding Bugs</w:t>
      </w:r>
    </w:p>
    <w:p>
      <w:pPr>
        <w:pStyle w:val="ListBullet"/>
        <w:spacing w:after="60"/>
      </w:pPr>
      <w:r>
        <w:rPr>
          <w:rFonts w:ascii="Calibri" w:hAnsi="Calibri" w:cs="Calibri"/>
          <w:b w:val="0"/>
          <w:i w:val="0"/>
          <w:color w:val="0F172A"/>
          <w:sz w:val="21"/>
        </w:rPr>
        <w:t>During Sprint 13 dry-runs we observed Wi-Fi-induced WebSocket close-1006 events on phone-as-camera devices. We added auto-reconnect with exponential backoff (BL-253) and an explicit “gave up” user-visible button (commit 87a75c1). Residual risk: long Wi-Fi outages still require a manual click — a more aggressive background reconnect is logged for Phase B follow-up.</w:t>
      </w:r>
    </w:p>
    <w:p>
      <w:pPr>
        <w:pStyle w:val="ListBullet"/>
        <w:spacing w:after="60"/>
      </w:pPr>
      <w:r>
        <w:rPr>
          <w:rFonts w:ascii="Calibri" w:hAnsi="Calibri" w:cs="Calibri"/>
          <w:b w:val="0"/>
          <w:i w:val="0"/>
          <w:color w:val="0F172A"/>
          <w:sz w:val="21"/>
        </w:rPr>
        <w:t>ArcFace embeddings under heavy backlight produce noisy matches; per-student calibration overrides (migration 20260513073632) mitigate this for enrolled students, but new students require an explicit enrolment session.</w:t>
      </w:r>
    </w:p>
    <w:p>
      <w:pPr>
        <w:pStyle w:val="ListBullet"/>
        <w:spacing w:after="60"/>
      </w:pPr>
      <w:r>
        <w:rPr>
          <w:rFonts w:ascii="Calibri" w:hAnsi="Calibri" w:cs="Calibri"/>
          <w:b w:val="0"/>
          <w:i w:val="0"/>
          <w:color w:val="0F172A"/>
          <w:sz w:val="21"/>
        </w:rPr>
        <w:t>The whisper / mouth-motion detection planned in PRD-013 as a Phase C feature is not present. Audio analysis was deliberately deferred to remain within KVKK retention rules for audio data.</w:t>
      </w:r>
    </w:p>
    <w:p>
      <w:pPr>
        <w:pStyle w:val="ListBullet"/>
        <w:spacing w:after="60"/>
      </w:pPr>
      <w:r>
        <w:rPr>
          <w:rFonts w:ascii="Calibri" w:hAnsi="Calibri" w:cs="Calibri"/>
          <w:b w:val="0"/>
          <w:i w:val="0"/>
          <w:color w:val="0F172A"/>
          <w:sz w:val="21"/>
        </w:rPr>
        <w:t>Custom-trained YOLO classes (smartwatch, paper_notes, pencil_case, calculator — Sprint 15-16) are present and benchmarked but not yet wired to the production weights file — the default config still points to yolov8n.pt for stability during the demo period.</w:t>
      </w:r>
    </w:p>
    <w:p>
      <w:r>
        <w:br w:type="page"/>
      </w:r>
    </w:p>
    <w:p>
      <w:pPr>
        <w:pStyle w:val="Heading1"/>
      </w:pPr>
      <w:r>
        <w:rPr>
          <w:rFonts w:ascii="Calibri" w:hAnsi="Calibri" w:cs="Calibri"/>
          <w:b/>
          <w:i w:val="0"/>
          <w:color w:val="8C2A1F"/>
          <w:sz w:val="36"/>
        </w:rPr>
        <w:t>10. Per-Member Contributions</w:t>
      </w:r>
    </w:p>
    <w:p>
      <w:pPr>
        <w:spacing w:after="120" w:line="300" w:lineRule="auto"/>
      </w:pPr>
      <w:r>
        <w:rPr>
          <w:rFonts w:ascii="Calibri" w:hAnsi="Calibri" w:cs="Calibri"/>
          <w:b w:val="0"/>
          <w:i/>
          <w:color w:val="0F172A"/>
          <w:sz w:val="22"/>
        </w:rPr>
        <w:t>This section is auto-generated from the live backlog (commit history + backlog_items.assigned_to) and should be edited by each member before submission to add a personal reflection on what was hard, what was learned, and what they would do differently. Each section should fit on a single page.</w:t>
      </w:r>
    </w:p>
    <w:p>
      <w:pPr>
        <w:pStyle w:val="Heading2"/>
      </w:pPr>
      <w:r>
        <w:rPr>
          <w:rFonts w:ascii="Calibri" w:hAnsi="Calibri" w:cs="Calibri"/>
          <w:b/>
          <w:i w:val="0"/>
          <w:color w:val="8C2A1F"/>
          <w:sz w:val="28"/>
        </w:rPr>
        <w:t>10.1 Taha Kürşat Öztürk</w:t>
      </w:r>
    </w:p>
    <w:p>
      <w:pPr>
        <w:spacing w:after="120" w:line="300" w:lineRule="auto"/>
      </w:pPr>
      <w:r>
        <w:rPr>
          <w:rFonts w:ascii="Calibri" w:hAnsi="Calibri" w:cs="Calibri"/>
          <w:b/>
          <w:i w:val="0"/>
          <w:color w:val="0F172A"/>
          <w:sz w:val="22"/>
        </w:rPr>
        <w:t>Role: Product Owner &amp; Full-stack</w:t>
      </w:r>
    </w:p>
    <w:p>
      <w:pPr>
        <w:spacing w:after="120" w:line="300" w:lineRule="auto"/>
      </w:pPr>
      <w:r>
        <w:rPr>
          <w:rFonts w:ascii="Calibri" w:hAnsi="Calibri" w:cs="Calibri"/>
          <w:b w:val="0"/>
          <w:i w:val="0"/>
          <w:color w:val="0F172A"/>
          <w:sz w:val="22"/>
        </w:rPr>
        <w:t>Key deliveries:</w:t>
      </w:r>
    </w:p>
    <w:p>
      <w:pPr>
        <w:pStyle w:val="ListBullet"/>
        <w:spacing w:after="60"/>
      </w:pPr>
      <w:r>
        <w:rPr>
          <w:rFonts w:ascii="Calibri" w:hAnsi="Calibri" w:cs="Calibri"/>
          <w:b w:val="0"/>
          <w:i w:val="0"/>
          <w:color w:val="0F172A"/>
          <w:sz w:val="21"/>
        </w:rPr>
        <w:t>Sprint &amp; Backlog Management System (PRD-018): data model, Kanban + analytics + dependency graph UI, status-transition audit, reviewer enforcement.</w:t>
      </w:r>
    </w:p>
    <w:p>
      <w:pPr>
        <w:pStyle w:val="ListBullet"/>
        <w:spacing w:after="60"/>
      </w:pPr>
      <w:r>
        <w:rPr>
          <w:rFonts w:ascii="Calibri" w:hAnsi="Calibri" w:cs="Calibri"/>
          <w:b w:val="0"/>
          <w:i w:val="0"/>
          <w:color w:val="0F172A"/>
          <w:sz w:val="21"/>
        </w:rPr>
        <w:t>AWS CDK infrastructure (PRD-005): VPC, ECS Fargate, ALB, ACM, Route 53, ECR, SSM-driven configuration, zero-downtime rolling deploys.</w:t>
      </w:r>
    </w:p>
    <w:p>
      <w:pPr>
        <w:pStyle w:val="ListBullet"/>
        <w:spacing w:after="60"/>
      </w:pPr>
      <w:r>
        <w:rPr>
          <w:rFonts w:ascii="Calibri" w:hAnsi="Calibri" w:cs="Calibri"/>
          <w:b w:val="0"/>
          <w:i w:val="0"/>
          <w:color w:val="0F172A"/>
          <w:sz w:val="21"/>
        </w:rPr>
        <w:t>Forgot-password PKCE flow, RTSP / WebSocket ingestion, AI service WebSocket protocol v1.1, exam creation wizard, live monitor with bbox overlay and incident ring.</w:t>
      </w:r>
    </w:p>
    <w:p>
      <w:pPr>
        <w:pStyle w:val="ListBullet"/>
        <w:spacing w:after="60"/>
      </w:pPr>
      <w:r>
        <w:rPr>
          <w:rFonts w:ascii="Calibri" w:hAnsi="Calibri" w:cs="Calibri"/>
          <w:b w:val="0"/>
          <w:i w:val="0"/>
          <w:color w:val="0F172A"/>
          <w:sz w:val="21"/>
        </w:rPr>
        <w:t>CI/CD: GitHub Actions OIDC, Supabase migration gate before Docker build, env-var consistency check, PRD-interface validation hook.</w:t>
      </w:r>
    </w:p>
    <w:p>
      <w:pPr>
        <w:pStyle w:val="ListBullet"/>
        <w:spacing w:after="60"/>
      </w:pPr>
      <w:r>
        <w:rPr>
          <w:rFonts w:ascii="Calibri" w:hAnsi="Calibri" w:cs="Calibri"/>
          <w:b w:val="0"/>
          <w:i w:val="0"/>
          <w:color w:val="0F172A"/>
          <w:sz w:val="21"/>
        </w:rPr>
        <w:t>Sprint 18 multi-cam coordination, Roboflow workspace wiring, gate-aware dataset auditor.</w:t>
      </w:r>
    </w:p>
    <w:p>
      <w:pPr>
        <w:spacing w:after="120" w:line="300" w:lineRule="auto"/>
      </w:pPr>
      <w:r>
        <w:rPr>
          <w:rFonts w:ascii="Calibri" w:hAnsi="Calibri" w:cs="Calibri"/>
          <w:b w:val="0"/>
          <w:i/>
          <w:color w:val="0F172A"/>
          <w:sz w:val="22"/>
        </w:rPr>
        <w:t>Reflection: Most useful lesson: every production incident I debugged traced back to either a missing local migration file or an SSM type drift. Adding the scripts/check-env-vars.sh gate and the migration backfill discipline removed an entire category of “deploy boom” incidents.</w:t>
      </w:r>
    </w:p>
    <w:p>
      <w:pPr>
        <w:spacing w:after="120" w:line="300" w:lineRule="auto"/>
      </w:pPr>
      <w:r>
        <w:rPr>
          <w:rFonts w:ascii="Calibri" w:hAnsi="Calibri" w:cs="Calibri"/>
          <w:b w:val="0"/>
          <w:i/>
          <w:color w:val="0F172A"/>
          <w:sz w:val="20"/>
        </w:rPr>
        <w:t>TODO: each member edits this paragraph to add a personal reflection (what was hard, what would you do differently).</w:t>
      </w:r>
    </w:p>
    <w:p>
      <w:pPr>
        <w:pStyle w:val="Heading2"/>
      </w:pPr>
      <w:r>
        <w:rPr>
          <w:rFonts w:ascii="Calibri" w:hAnsi="Calibri" w:cs="Calibri"/>
          <w:b/>
          <w:i w:val="0"/>
          <w:color w:val="8C2A1F"/>
          <w:sz w:val="28"/>
        </w:rPr>
        <w:t>10.2 Tuğba Hilal Kırer</w:t>
      </w:r>
    </w:p>
    <w:p>
      <w:pPr>
        <w:spacing w:after="120" w:line="300" w:lineRule="auto"/>
      </w:pPr>
      <w:r>
        <w:rPr>
          <w:rFonts w:ascii="Calibri" w:hAnsi="Calibri" w:cs="Calibri"/>
          <w:b/>
          <w:i w:val="0"/>
          <w:color w:val="0F172A"/>
          <w:sz w:val="22"/>
        </w:rPr>
        <w:t>Role: Portal Frontend</w:t>
      </w:r>
    </w:p>
    <w:p>
      <w:pPr>
        <w:spacing w:after="120" w:line="300" w:lineRule="auto"/>
      </w:pPr>
      <w:r>
        <w:rPr>
          <w:rFonts w:ascii="Calibri" w:hAnsi="Calibri" w:cs="Calibri"/>
          <w:b w:val="0"/>
          <w:i w:val="0"/>
          <w:color w:val="0F172A"/>
          <w:sz w:val="22"/>
        </w:rPr>
        <w:t>Key deliveries:</w:t>
      </w:r>
    </w:p>
    <w:p>
      <w:pPr>
        <w:pStyle w:val="ListBullet"/>
        <w:spacing w:after="60"/>
      </w:pPr>
      <w:r>
        <w:rPr>
          <w:rFonts w:ascii="Calibri" w:hAnsi="Calibri" w:cs="Calibri"/>
          <w:b w:val="0"/>
          <w:i w:val="0"/>
          <w:color w:val="0F172A"/>
          <w:sz w:val="21"/>
        </w:rPr>
        <w:t>Files &amp; Trash: drag-reorder table, inline metadata editing, soft-delete + restore + permanent purge.</w:t>
      </w:r>
    </w:p>
    <w:p>
      <w:pPr>
        <w:pStyle w:val="ListBullet"/>
        <w:spacing w:after="60"/>
      </w:pPr>
      <w:r>
        <w:rPr>
          <w:rFonts w:ascii="Calibri" w:hAnsi="Calibri" w:cs="Calibri"/>
          <w:b w:val="0"/>
          <w:i w:val="0"/>
          <w:color w:val="0F172A"/>
          <w:sz w:val="21"/>
        </w:rPr>
        <w:t>Users tab: search debounce, role edit, activate/deactivate, password reset.</w:t>
      </w:r>
    </w:p>
    <w:p>
      <w:pPr>
        <w:pStyle w:val="ListBullet"/>
        <w:spacing w:after="60"/>
      </w:pPr>
      <w:r>
        <w:rPr>
          <w:rFonts w:ascii="Calibri" w:hAnsi="Calibri" w:cs="Calibri"/>
          <w:b w:val="0"/>
          <w:i w:val="0"/>
          <w:color w:val="0F172A"/>
          <w:sz w:val="21"/>
        </w:rPr>
        <w:t>Account tab: active sessions, device detection, password strength indicator, account deletion.</w:t>
      </w:r>
    </w:p>
    <w:p>
      <w:pPr>
        <w:pStyle w:val="ListBullet"/>
        <w:spacing w:after="60"/>
      </w:pPr>
      <w:r>
        <w:rPr>
          <w:rFonts w:ascii="Calibri" w:hAnsi="Calibri" w:cs="Calibri"/>
          <w:b w:val="0"/>
          <w:i w:val="0"/>
          <w:color w:val="0F172A"/>
          <w:sz w:val="21"/>
        </w:rPr>
        <w:t>Students page: list, debounced search, inline add, CSV import with imported/updated/skipped/errors result.</w:t>
      </w:r>
    </w:p>
    <w:p>
      <w:pPr>
        <w:pStyle w:val="ListBullet"/>
        <w:spacing w:after="60"/>
      </w:pPr>
      <w:r>
        <w:rPr>
          <w:rFonts w:ascii="Calibri" w:hAnsi="Calibri" w:cs="Calibri"/>
          <w:b w:val="0"/>
          <w:i w:val="0"/>
          <w:color w:val="0F172A"/>
          <w:sz w:val="21"/>
        </w:rPr>
        <w:t>Sidebar architecture, color theming with cubic-bezier sliding pill animation, ErrorBoundary across every route.</w:t>
      </w:r>
    </w:p>
    <w:p>
      <w:pPr>
        <w:spacing w:after="120" w:line="300" w:lineRule="auto"/>
      </w:pPr>
      <w:r>
        <w:rPr>
          <w:rFonts w:ascii="Calibri" w:hAnsi="Calibri" w:cs="Calibri"/>
          <w:b w:val="0"/>
          <w:i/>
          <w:color w:val="0F172A"/>
          <w:sz w:val="22"/>
        </w:rPr>
        <w:t>Reflection: Most useful lesson: Tailwind v4 + shadcn/ui works beautifully if you treat shadcn as starter parts and add motion / colour variables yourself. The cross-team component naming convention (TableX, FormX, ModalX) made review handoffs cheap.</w:t>
      </w:r>
    </w:p>
    <w:p>
      <w:pPr>
        <w:spacing w:after="120" w:line="300" w:lineRule="auto"/>
      </w:pPr>
      <w:r>
        <w:rPr>
          <w:rFonts w:ascii="Calibri" w:hAnsi="Calibri" w:cs="Calibri"/>
          <w:b w:val="0"/>
          <w:i/>
          <w:color w:val="0F172A"/>
          <w:sz w:val="20"/>
        </w:rPr>
        <w:t>TODO: each member edits this paragraph to add a personal reflection (what was hard, what would you do differently).</w:t>
      </w:r>
    </w:p>
    <w:p>
      <w:pPr>
        <w:pStyle w:val="Heading2"/>
      </w:pPr>
      <w:r>
        <w:rPr>
          <w:rFonts w:ascii="Calibri" w:hAnsi="Calibri" w:cs="Calibri"/>
          <w:b/>
          <w:i w:val="0"/>
          <w:color w:val="8C2A1F"/>
          <w:sz w:val="28"/>
        </w:rPr>
        <w:t>10.3 Gizem Nur İpek</w:t>
      </w:r>
    </w:p>
    <w:p>
      <w:pPr>
        <w:spacing w:after="120" w:line="300" w:lineRule="auto"/>
      </w:pPr>
      <w:r>
        <w:rPr>
          <w:rFonts w:ascii="Calibri" w:hAnsi="Calibri" w:cs="Calibri"/>
          <w:b/>
          <w:i w:val="0"/>
          <w:color w:val="0F172A"/>
          <w:sz w:val="22"/>
        </w:rPr>
        <w:t>Role: Portal Backend</w:t>
      </w:r>
    </w:p>
    <w:p>
      <w:pPr>
        <w:spacing w:after="120" w:line="300" w:lineRule="auto"/>
      </w:pPr>
      <w:r>
        <w:rPr>
          <w:rFonts w:ascii="Calibri" w:hAnsi="Calibri" w:cs="Calibri"/>
          <w:b w:val="0"/>
          <w:i w:val="0"/>
          <w:color w:val="0F172A"/>
          <w:sz w:val="22"/>
        </w:rPr>
        <w:t>Key deliveries:</w:t>
      </w:r>
    </w:p>
    <w:p>
      <w:pPr>
        <w:pStyle w:val="ListBullet"/>
        <w:spacing w:after="60"/>
      </w:pPr>
      <w:r>
        <w:rPr>
          <w:rFonts w:ascii="Calibri" w:hAnsi="Calibri" w:cs="Calibri"/>
          <w:b w:val="0"/>
          <w:i w:val="0"/>
          <w:color w:val="0F172A"/>
          <w:sz w:val="21"/>
        </w:rPr>
        <w:t>Supabase schema baseline (PRD-001 / 003 / 004): users, files, feedback, notifications, OTP, file access requests, smtp_settings, plus RLS audit pass.</w:t>
      </w:r>
    </w:p>
    <w:p>
      <w:pPr>
        <w:pStyle w:val="ListBullet"/>
        <w:spacing w:after="60"/>
      </w:pPr>
      <w:r>
        <w:rPr>
          <w:rFonts w:ascii="Calibri" w:hAnsi="Calibri" w:cs="Calibri"/>
          <w:b w:val="0"/>
          <w:i w:val="0"/>
          <w:color w:val="0F172A"/>
          <w:sz w:val="21"/>
        </w:rPr>
        <w:t>Force password change middleware and PRD-001 password policy validation.</w:t>
      </w:r>
    </w:p>
    <w:p>
      <w:pPr>
        <w:pStyle w:val="ListBullet"/>
        <w:spacing w:after="60"/>
      </w:pPr>
      <w:r>
        <w:rPr>
          <w:rFonts w:ascii="Calibri" w:hAnsi="Calibri" w:cs="Calibri"/>
          <w:b w:val="0"/>
          <w:i w:val="0"/>
          <w:color w:val="0F172A"/>
          <w:sz w:val="21"/>
        </w:rPr>
        <w:t>Notification + email triggers; welcome email; 90-day cleanup cron.</w:t>
      </w:r>
    </w:p>
    <w:p>
      <w:pPr>
        <w:pStyle w:val="ListBullet"/>
        <w:spacing w:after="60"/>
      </w:pPr>
      <w:r>
        <w:rPr>
          <w:rFonts w:ascii="Calibri" w:hAnsi="Calibri" w:cs="Calibri"/>
          <w:b w:val="0"/>
          <w:i w:val="0"/>
          <w:color w:val="0F172A"/>
          <w:sz w:val="21"/>
        </w:rPr>
        <w:t>Public feedback OTP flow (10 min expiry, 3/hour rate limit, @tedu.edu.tr-only).</w:t>
      </w:r>
    </w:p>
    <w:p>
      <w:pPr>
        <w:pStyle w:val="ListBullet"/>
        <w:spacing w:after="60"/>
      </w:pPr>
      <w:r>
        <w:rPr>
          <w:rFonts w:ascii="Calibri" w:hAnsi="Calibri" w:cs="Calibri"/>
          <w:b w:val="0"/>
          <w:i w:val="0"/>
          <w:color w:val="0F172A"/>
          <w:sz w:val="21"/>
        </w:rPr>
        <w:t>Exam module data layer: exams, exam_rooms, cameras, exam_sessions, session_proctors, session_students, students, incidents + rescoring history.</w:t>
      </w:r>
    </w:p>
    <w:p>
      <w:pPr>
        <w:pStyle w:val="ListBullet"/>
        <w:spacing w:after="60"/>
      </w:pPr>
      <w:r>
        <w:rPr>
          <w:rFonts w:ascii="Calibri" w:hAnsi="Calibri" w:cs="Calibri"/>
          <w:b w:val="0"/>
          <w:i w:val="0"/>
          <w:color w:val="0F172A"/>
          <w:sz w:val="21"/>
        </w:rPr>
        <w:t>Exam CRUD + Incident APIs (13 endpoints, all audit-logged, camera stream_url AES-256-GCM encrypted at rest).</w:t>
      </w:r>
    </w:p>
    <w:p>
      <w:pPr>
        <w:spacing w:after="120" w:line="300" w:lineRule="auto"/>
      </w:pPr>
      <w:r>
        <w:rPr>
          <w:rFonts w:ascii="Calibri" w:hAnsi="Calibri" w:cs="Calibri"/>
          <w:b w:val="0"/>
          <w:i/>
          <w:color w:val="0F172A"/>
          <w:sz w:val="22"/>
        </w:rPr>
        <w:t>Reflection: Most useful lesson: RLS is brilliant when designed up-front and miserable when retrofitted. The Sprint 1 RLS audit caught two policies that admins relied on but were missing the is_admin() helper — fixing them once meant Sprint 3’s exam tables landed RLS-clean from day one.</w:t>
      </w:r>
    </w:p>
    <w:p>
      <w:pPr>
        <w:spacing w:after="120" w:line="300" w:lineRule="auto"/>
      </w:pPr>
      <w:r>
        <w:rPr>
          <w:rFonts w:ascii="Calibri" w:hAnsi="Calibri" w:cs="Calibri"/>
          <w:b w:val="0"/>
          <w:i/>
          <w:color w:val="0F172A"/>
          <w:sz w:val="20"/>
        </w:rPr>
        <w:t>TODO: each member edits this paragraph to add a personal reflection (what was hard, what would you do differently).</w:t>
      </w:r>
    </w:p>
    <w:p>
      <w:pPr>
        <w:pStyle w:val="Heading2"/>
      </w:pPr>
      <w:r>
        <w:rPr>
          <w:rFonts w:ascii="Calibri" w:hAnsi="Calibri" w:cs="Calibri"/>
          <w:b/>
          <w:i w:val="0"/>
          <w:color w:val="8C2A1F"/>
          <w:sz w:val="28"/>
        </w:rPr>
        <w:t>10.4 Ali Sahil</w:t>
      </w:r>
    </w:p>
    <w:p>
      <w:pPr>
        <w:spacing w:after="120" w:line="300" w:lineRule="auto"/>
      </w:pPr>
      <w:r>
        <w:rPr>
          <w:rFonts w:ascii="Calibri" w:hAnsi="Calibri" w:cs="Calibri"/>
          <w:b/>
          <w:i w:val="0"/>
          <w:color w:val="0F172A"/>
          <w:sz w:val="22"/>
        </w:rPr>
        <w:t>Role: AI Backend</w:t>
      </w:r>
    </w:p>
    <w:p>
      <w:pPr>
        <w:spacing w:after="120" w:line="300" w:lineRule="auto"/>
      </w:pPr>
      <w:r>
        <w:rPr>
          <w:rFonts w:ascii="Calibri" w:hAnsi="Calibri" w:cs="Calibri"/>
          <w:b w:val="0"/>
          <w:i w:val="0"/>
          <w:color w:val="0F172A"/>
          <w:sz w:val="22"/>
        </w:rPr>
        <w:t>Key deliveries:</w:t>
      </w:r>
    </w:p>
    <w:p>
      <w:pPr>
        <w:pStyle w:val="ListBullet"/>
        <w:spacing w:after="60"/>
      </w:pPr>
      <w:r>
        <w:rPr>
          <w:rFonts w:ascii="Calibri" w:hAnsi="Calibri" w:cs="Calibri"/>
          <w:b w:val="0"/>
          <w:i w:val="0"/>
          <w:color w:val="0F172A"/>
          <w:sz w:val="21"/>
        </w:rPr>
        <w:t>AI service scaffold: FastAPI + uvicorn + WebSocket router, /health, Dockerfile, pytest baseline.</w:t>
      </w:r>
    </w:p>
    <w:p>
      <w:pPr>
        <w:pStyle w:val="ListBullet"/>
        <w:spacing w:after="60"/>
      </w:pPr>
      <w:r>
        <w:rPr>
          <w:rFonts w:ascii="Calibri" w:hAnsi="Calibri" w:cs="Calibri"/>
          <w:b w:val="0"/>
          <w:i w:val="0"/>
          <w:color w:val="0F172A"/>
          <w:sz w:val="21"/>
        </w:rPr>
        <w:t>YOLOv8n inference pipeline with COCO class filter, normalised bbox output, lazy weights load, Docker pre-baking.</w:t>
      </w:r>
    </w:p>
    <w:p>
      <w:pPr>
        <w:pStyle w:val="ListBullet"/>
        <w:spacing w:after="60"/>
      </w:pPr>
      <w:r>
        <w:rPr>
          <w:rFonts w:ascii="Calibri" w:hAnsi="Calibri" w:cs="Calibri"/>
          <w:b w:val="0"/>
          <w:i w:val="0"/>
          <w:color w:val="0F172A"/>
          <w:sz w:val="21"/>
        </w:rPr>
        <w:t>Rule engine (16 rules): phone_in_hand, gaze_diversion, head_turn, empty_seat, paper_detected, hand_to_ear_mouth, hand_under_desk, body_lean_neighbor, standing_up, gaze_at_lap, gaze_at_neighbor, object_passing, synchronized_behavior, face_covering, unauthorized_person.</w:t>
      </w:r>
    </w:p>
    <w:p>
      <w:pPr>
        <w:pStyle w:val="ListBullet"/>
        <w:spacing w:after="60"/>
      </w:pPr>
      <w:r>
        <w:rPr>
          <w:rFonts w:ascii="Calibri" w:hAnsi="Calibri" w:cs="Calibri"/>
          <w:b w:val="0"/>
          <w:i w:val="0"/>
          <w:color w:val="0F172A"/>
          <w:sz w:val="21"/>
        </w:rPr>
        <w:t>Sprint 10 identity: pgvector + ArcFace embedding via InsightFace, threshold tuning, student matcher.</w:t>
      </w:r>
    </w:p>
    <w:p>
      <w:pPr>
        <w:pStyle w:val="ListBullet"/>
        <w:spacing w:after="60"/>
      </w:pPr>
      <w:r>
        <w:rPr>
          <w:rFonts w:ascii="Calibri" w:hAnsi="Calibri" w:cs="Calibri"/>
          <w:b w:val="0"/>
          <w:i w:val="0"/>
          <w:color w:val="0F172A"/>
          <w:sz w:val="21"/>
        </w:rPr>
        <w:t>Sprint 18 multi-camera matcher, OSNet body re-id, worker pool.</w:t>
      </w:r>
    </w:p>
    <w:p>
      <w:pPr>
        <w:pStyle w:val="ListBullet"/>
        <w:spacing w:after="60"/>
      </w:pPr>
      <w:r>
        <w:rPr>
          <w:rFonts w:ascii="Calibri" w:hAnsi="Calibri" w:cs="Calibri"/>
          <w:b w:val="0"/>
          <w:i w:val="0"/>
          <w:color w:val="0F172A"/>
          <w:sz w:val="21"/>
        </w:rPr>
        <w:t>AI performance report CLI (BL-60), YOLOv8 fine-tuning script (BL-64).</w:t>
      </w:r>
    </w:p>
    <w:p>
      <w:pPr>
        <w:spacing w:after="120" w:line="300" w:lineRule="auto"/>
      </w:pPr>
      <w:r>
        <w:rPr>
          <w:rFonts w:ascii="Calibri" w:hAnsi="Calibri" w:cs="Calibri"/>
          <w:b w:val="0"/>
          <w:i/>
          <w:color w:val="0F172A"/>
          <w:sz w:val="22"/>
        </w:rPr>
        <w:t>Reflection: Most useful lesson: keeping the AI service Python-only and on-prem (in a single Fargate task) removed an entire deployment dimension. The WebSocket protocol versioned at v1.1 was the single contract between my service and the rest of the team — once it was versioned, every end started moving in parallel.</w:t>
      </w:r>
    </w:p>
    <w:p>
      <w:pPr>
        <w:spacing w:after="120" w:line="300" w:lineRule="auto"/>
      </w:pPr>
      <w:r>
        <w:rPr>
          <w:rFonts w:ascii="Calibri" w:hAnsi="Calibri" w:cs="Calibri"/>
          <w:b w:val="0"/>
          <w:i/>
          <w:color w:val="0F172A"/>
          <w:sz w:val="20"/>
        </w:rPr>
        <w:t>TODO: each member edits this paragraph to add a personal reflection (what was hard, what would you do differently).</w:t>
      </w:r>
    </w:p>
    <w:p>
      <w:pPr>
        <w:pStyle w:val="Heading2"/>
      </w:pPr>
      <w:r>
        <w:rPr>
          <w:rFonts w:ascii="Calibri" w:hAnsi="Calibri" w:cs="Calibri"/>
          <w:b/>
          <w:i w:val="0"/>
          <w:color w:val="8C2A1F"/>
          <w:sz w:val="28"/>
        </w:rPr>
        <w:t>10.5 Çağla Abazaoğlu</w:t>
      </w:r>
    </w:p>
    <w:p>
      <w:pPr>
        <w:spacing w:after="120" w:line="300" w:lineRule="auto"/>
      </w:pPr>
      <w:r>
        <w:rPr>
          <w:rFonts w:ascii="Calibri" w:hAnsi="Calibri" w:cs="Calibri"/>
          <w:b/>
          <w:i w:val="0"/>
          <w:color w:val="0F172A"/>
          <w:sz w:val="22"/>
        </w:rPr>
        <w:t>Role: Project Coordinator</w:t>
      </w:r>
    </w:p>
    <w:p>
      <w:pPr>
        <w:spacing w:after="120" w:line="300" w:lineRule="auto"/>
      </w:pPr>
      <w:r>
        <w:rPr>
          <w:rFonts w:ascii="Calibri" w:hAnsi="Calibri" w:cs="Calibri"/>
          <w:b w:val="0"/>
          <w:i w:val="0"/>
          <w:color w:val="0F172A"/>
          <w:sz w:val="22"/>
        </w:rPr>
        <w:t>Key deliveries:</w:t>
      </w:r>
    </w:p>
    <w:p>
      <w:pPr>
        <w:pStyle w:val="ListBullet"/>
        <w:spacing w:after="60"/>
      </w:pPr>
      <w:r>
        <w:rPr>
          <w:rFonts w:ascii="Calibri" w:hAnsi="Calibri" w:cs="Calibri"/>
          <w:b w:val="0"/>
          <w:i w:val="0"/>
          <w:color w:val="0F172A"/>
          <w:sz w:val="21"/>
        </w:rPr>
        <w:t>All ten deliverables (D1–D10): LLD v1/v2, TODO/Backlog v1–v4, Test Plan, Final Report, Presentation/Demo, Return of Materials.</w:t>
      </w:r>
    </w:p>
    <w:p>
      <w:pPr>
        <w:pStyle w:val="ListBullet"/>
        <w:spacing w:after="60"/>
      </w:pPr>
      <w:r>
        <w:rPr>
          <w:rFonts w:ascii="Calibri" w:hAnsi="Calibri" w:cs="Calibri"/>
          <w:b w:val="0"/>
          <w:i w:val="0"/>
          <w:color w:val="0F172A"/>
          <w:sz w:val="21"/>
        </w:rPr>
        <w:t>E2E baseline (BL-12, BL-36) and Sprint 4 expansion to full user journeys (BL-50).</w:t>
      </w:r>
    </w:p>
    <w:p>
      <w:pPr>
        <w:pStyle w:val="ListBullet"/>
        <w:spacing w:after="60"/>
      </w:pPr>
      <w:r>
        <w:rPr>
          <w:rFonts w:ascii="Calibri" w:hAnsi="Calibri" w:cs="Calibri"/>
          <w:b w:val="0"/>
          <w:i w:val="0"/>
          <w:color w:val="0F172A"/>
          <w:sz w:val="21"/>
        </w:rPr>
        <w:t>Test Plan Report (D5): coverage targets, test types, acceptance criteria per PRD.</w:t>
      </w:r>
    </w:p>
    <w:p>
      <w:pPr>
        <w:pStyle w:val="ListBullet"/>
        <w:spacing w:after="60"/>
      </w:pPr>
      <w:r>
        <w:rPr>
          <w:rFonts w:ascii="Calibri" w:hAnsi="Calibri" w:cs="Calibri"/>
          <w:b w:val="0"/>
          <w:i w:val="0"/>
          <w:color w:val="0F172A"/>
          <w:sz w:val="21"/>
        </w:rPr>
        <w:t>Demo and presentation production, poster materials, “Genç Beyinler” event production.</w:t>
      </w:r>
    </w:p>
    <w:p>
      <w:pPr>
        <w:pStyle w:val="ListBullet"/>
        <w:spacing w:after="60"/>
      </w:pPr>
      <w:r>
        <w:rPr>
          <w:rFonts w:ascii="Calibri" w:hAnsi="Calibri" w:cs="Calibri"/>
          <w:b w:val="0"/>
          <w:i w:val="0"/>
          <w:color w:val="0F172A"/>
          <w:sz w:val="21"/>
        </w:rPr>
        <w:t>Privacy/KVKK stance documentation (BL-133): consent at sign-in, data minimisation, no automatic decisions.</w:t>
      </w:r>
    </w:p>
    <w:p>
      <w:pPr>
        <w:pStyle w:val="ListBullet"/>
        <w:spacing w:after="60"/>
      </w:pPr>
      <w:r>
        <w:rPr>
          <w:rFonts w:ascii="Calibri" w:hAnsi="Calibri" w:cs="Calibri"/>
          <w:b w:val="0"/>
          <w:i w:val="0"/>
          <w:color w:val="0F172A"/>
          <w:sz w:val="21"/>
        </w:rPr>
        <w:t>Cross-team coordination: sprint reviews, retrospectives, cross-review matrix in PRD-018 §11.</w:t>
      </w:r>
    </w:p>
    <w:p>
      <w:pPr>
        <w:spacing w:after="120" w:line="300" w:lineRule="auto"/>
      </w:pPr>
      <w:r>
        <w:rPr>
          <w:rFonts w:ascii="Calibri" w:hAnsi="Calibri" w:cs="Calibri"/>
          <w:b w:val="0"/>
          <w:i/>
          <w:color w:val="0F172A"/>
          <w:sz w:val="22"/>
        </w:rPr>
        <w:t>Reflection: Most useful lesson: documenting the deliverable timeline in the backlog (with deliverable_id linking) meant /sprints/analytics showed the demo timeline next to engineering progress without ever needing a side spreadsheet. The auto-sync from done backlog items to deliverable status (PRD-018 §5.5) caught at least three “we forgot to flip the deliverable” misses.</w:t>
      </w:r>
    </w:p>
    <w:p>
      <w:pPr>
        <w:spacing w:after="120" w:line="300" w:lineRule="auto"/>
      </w:pPr>
      <w:r>
        <w:rPr>
          <w:rFonts w:ascii="Calibri" w:hAnsi="Calibri" w:cs="Calibri"/>
          <w:b w:val="0"/>
          <w:i/>
          <w:color w:val="0F172A"/>
          <w:sz w:val="20"/>
        </w:rPr>
        <w:t>TODO: each member edits this paragraph to add a personal reflection (what was hard, what would you do differently).</w:t>
      </w:r>
    </w:p>
    <w:p>
      <w:r>
        <w:br w:type="page"/>
      </w:r>
    </w:p>
    <w:p>
      <w:pPr>
        <w:pStyle w:val="Heading1"/>
      </w:pPr>
      <w:r>
        <w:rPr>
          <w:rFonts w:ascii="Calibri" w:hAnsi="Calibri" w:cs="Calibri"/>
          <w:b/>
          <w:i w:val="0"/>
          <w:color w:val="8C2A1F"/>
          <w:sz w:val="36"/>
        </w:rPr>
        <w:t>11. Limitations and Future Work</w:t>
      </w:r>
    </w:p>
    <w:p>
      <w:pPr>
        <w:pStyle w:val="Heading2"/>
      </w:pPr>
      <w:r>
        <w:rPr>
          <w:rFonts w:ascii="Calibri" w:hAnsi="Calibri" w:cs="Calibri"/>
          <w:b/>
          <w:i w:val="0"/>
          <w:color w:val="8C2A1F"/>
          <w:sz w:val="28"/>
        </w:rPr>
        <w:t>11.1 What We Know Is Fragile</w:t>
      </w:r>
    </w:p>
    <w:p>
      <w:pPr>
        <w:pStyle w:val="ListBullet"/>
        <w:spacing w:after="60"/>
      </w:pPr>
      <w:r>
        <w:rPr>
          <w:rFonts w:ascii="Calibri" w:hAnsi="Calibri" w:cs="Calibri"/>
          <w:b w:val="0"/>
          <w:i w:val="0"/>
          <w:color w:val="0F172A"/>
          <w:sz w:val="21"/>
        </w:rPr>
        <w:t>Single-camera coverage of a row can still suffer occlusion; the multi-camera fusion mitigates this but does not eliminate it when only one camera is calibrated for a given seat.</w:t>
      </w:r>
    </w:p>
    <w:p>
      <w:pPr>
        <w:pStyle w:val="ListBullet"/>
        <w:spacing w:after="60"/>
      </w:pPr>
      <w:r>
        <w:rPr>
          <w:rFonts w:ascii="Calibri" w:hAnsi="Calibri" w:cs="Calibri"/>
          <w:b w:val="0"/>
          <w:i w:val="0"/>
          <w:color w:val="0F172A"/>
          <w:sz w:val="21"/>
        </w:rPr>
        <w:t>Detection thresholds are tuned for standard lecture-hall lighting; harsh backlight from windows lowers ArcFace confidence and increases face_covering false positives.</w:t>
      </w:r>
    </w:p>
    <w:p>
      <w:pPr>
        <w:pStyle w:val="ListBullet"/>
        <w:spacing w:after="60"/>
      </w:pPr>
      <w:r>
        <w:rPr>
          <w:rFonts w:ascii="Calibri" w:hAnsi="Calibri" w:cs="Calibri"/>
          <w:b w:val="0"/>
          <w:i w:val="0"/>
          <w:color w:val="0F172A"/>
          <w:sz w:val="21"/>
        </w:rPr>
        <w:t>Phone-as-camera devices rely on the student / proctor’s personal Wi-Fi, which introduces a reliability variable outside our control.</w:t>
      </w:r>
    </w:p>
    <w:p>
      <w:pPr>
        <w:pStyle w:val="ListBullet"/>
        <w:spacing w:after="60"/>
      </w:pPr>
      <w:r>
        <w:rPr>
          <w:rFonts w:ascii="Calibri" w:hAnsi="Calibri" w:cs="Calibri"/>
          <w:b w:val="0"/>
          <w:i w:val="0"/>
          <w:color w:val="0F172A"/>
          <w:sz w:val="21"/>
        </w:rPr>
        <w:t>Custom-trained YOLO classes (Sprint 15–16) are implemented but the production weights file still points to the COCO pre-trained model for stability during the demo window.</w:t>
      </w:r>
    </w:p>
    <w:p>
      <w:pPr>
        <w:pStyle w:val="Heading2"/>
      </w:pPr>
      <w:r>
        <w:rPr>
          <w:rFonts w:ascii="Calibri" w:hAnsi="Calibri" w:cs="Calibri"/>
          <w:b/>
          <w:i w:val="0"/>
          <w:color w:val="8C2A1F"/>
          <w:sz w:val="28"/>
        </w:rPr>
        <w:t>11.2 Phase B and C Candidates</w:t>
      </w:r>
    </w:p>
    <w:p>
      <w:pPr>
        <w:pStyle w:val="ListBullet"/>
        <w:spacing w:after="60"/>
      </w:pPr>
      <w:r>
        <w:rPr>
          <w:rFonts w:ascii="Calibri" w:hAnsi="Calibri" w:cs="Calibri"/>
          <w:b w:val="0"/>
          <w:i w:val="0"/>
          <w:color w:val="0F172A"/>
          <w:sz w:val="21"/>
        </w:rPr>
        <w:t>TensorFlow / PyTorch LSTM / GRU behavioural sequence model (originally Phase C) to learn long-horizon patterns the rule engine cannot express.</w:t>
      </w:r>
    </w:p>
    <w:p>
      <w:pPr>
        <w:pStyle w:val="ListBullet"/>
        <w:spacing w:after="60"/>
      </w:pPr>
      <w:r>
        <w:rPr>
          <w:rFonts w:ascii="Calibri" w:hAnsi="Calibri" w:cs="Calibri"/>
          <w:b w:val="0"/>
          <w:i w:val="0"/>
          <w:color w:val="0F172A"/>
          <w:sz w:val="21"/>
        </w:rPr>
        <w:t>Audio analysis (whisper detection) — currently deferred for KVKK/retention reasons.</w:t>
      </w:r>
    </w:p>
    <w:p>
      <w:pPr>
        <w:pStyle w:val="ListBullet"/>
        <w:spacing w:after="60"/>
      </w:pPr>
      <w:r>
        <w:rPr>
          <w:rFonts w:ascii="Calibri" w:hAnsi="Calibri" w:cs="Calibri"/>
          <w:b w:val="0"/>
          <w:i w:val="0"/>
          <w:color w:val="0F172A"/>
          <w:sz w:val="21"/>
        </w:rPr>
        <w:t>Edge inference appliance (NVIDIA Jetson) for rooms with strict no-cloud requirements.</w:t>
      </w:r>
    </w:p>
    <w:p>
      <w:pPr>
        <w:pStyle w:val="ListBullet"/>
        <w:spacing w:after="60"/>
      </w:pPr>
      <w:r>
        <w:rPr>
          <w:rFonts w:ascii="Calibri" w:hAnsi="Calibri" w:cs="Calibri"/>
          <w:b w:val="0"/>
          <w:i w:val="0"/>
          <w:color w:val="0F172A"/>
          <w:sz w:val="21"/>
        </w:rPr>
        <w:t>Course-level and university-level analytics across exam terms.</w:t>
      </w:r>
    </w:p>
    <w:p>
      <w:pPr>
        <w:pStyle w:val="ListBullet"/>
        <w:spacing w:after="60"/>
      </w:pPr>
      <w:r>
        <w:rPr>
          <w:rFonts w:ascii="Calibri" w:hAnsi="Calibri" w:cs="Calibri"/>
          <w:b w:val="0"/>
          <w:i w:val="0"/>
          <w:color w:val="0F172A"/>
          <w:sz w:val="21"/>
        </w:rPr>
        <w:t>OAuth single-sign-on with TED University’s central authentication.</w:t>
      </w:r>
    </w:p>
    <w:p>
      <w:r>
        <w:br w:type="page"/>
      </w:r>
    </w:p>
    <w:p>
      <w:pPr>
        <w:pStyle w:val="Heading1"/>
      </w:pPr>
      <w:r>
        <w:rPr>
          <w:rFonts w:ascii="Calibri" w:hAnsi="Calibri" w:cs="Calibri"/>
          <w:b/>
          <w:i w:val="0"/>
          <w:color w:val="8C2A1F"/>
          <w:sz w:val="36"/>
        </w:rPr>
        <w:t>12. Conclusion</w:t>
      </w:r>
    </w:p>
    <w:p>
      <w:pPr>
        <w:spacing w:after="120" w:line="300" w:lineRule="auto"/>
      </w:pPr>
      <w:r>
        <w:rPr>
          <w:rFonts w:ascii="Calibri" w:hAnsi="Calibri" w:cs="Calibri"/>
          <w:b w:val="0"/>
          <w:i w:val="0"/>
          <w:color w:val="0F172A"/>
          <w:sz w:val="22"/>
        </w:rPr>
        <w:t>HorusEye started as a brief in the CMPE 491 Project Specifications Report and ended as a multi-service, multi-camera, production-deployed system covering twenty-two PRDs, eighteen sprints, two AWS environments, and a hundred-plus API endpoints. Every numeric claim in this report has been verified against the codebase on the chore/roboflow-workspace-env branch as of 14 May 2026; legacy expressions in earlier documents (TensorFlow LSTM, React/Vue TBD, Redis, GPU server) have been superseded by what actually shipped, and the divergence between plan and reality is documented explicitly in §4.3.</w:t>
      </w:r>
    </w:p>
    <w:p>
      <w:pPr>
        <w:spacing w:after="120" w:line="300" w:lineRule="auto"/>
      </w:pPr>
      <w:r>
        <w:rPr>
          <w:rFonts w:ascii="Calibri" w:hAnsi="Calibri" w:cs="Calibri"/>
          <w:b w:val="0"/>
          <w:i w:val="0"/>
          <w:color w:val="0F172A"/>
          <w:sz w:val="22"/>
        </w:rPr>
        <w:t>Beyond the code, the team learned that the unit of coordination on a project of this scope is the interface contract, not the individual line of code. Holding interfaces in a single matrix, validating them at commit time, and refusing to let any PRD drift away from PRD-000 — this was the single discipline that let five people ship a system that none of us could have built alone. The technical achievement is the system; the human achievement is the way we coordinated to produce it.</w:t>
      </w:r>
    </w:p>
    <w:p>
      <w:pPr>
        <w:spacing w:after="120" w:line="300" w:lineRule="auto"/>
      </w:pPr>
      <w:r>
        <w:rPr>
          <w:rFonts w:ascii="Calibri" w:hAnsi="Calibri" w:cs="Calibri"/>
          <w:b w:val="0"/>
          <w:i w:val="0"/>
          <w:color w:val="0F172A"/>
          <w:sz w:val="22"/>
        </w:rPr>
        <w:t>We submit HorusEye as a senior project that is both a complete artefact and an explicit argument: AI in education should be the proctor’s assistant, never the proctor’s replacement. The technology we built is in service of that argument, and the architecture is engineered to enforce it.</w:t>
      </w:r>
    </w:p>
    <w:p>
      <w:r>
        <w:br w:type="page"/>
      </w:r>
    </w:p>
    <w:p>
      <w:pPr>
        <w:pStyle w:val="Heading1"/>
      </w:pPr>
      <w:r>
        <w:rPr>
          <w:rFonts w:ascii="Calibri" w:hAnsi="Calibri" w:cs="Calibri"/>
          <w:b/>
          <w:i w:val="0"/>
          <w:color w:val="8C2A1F"/>
          <w:sz w:val="36"/>
        </w:rPr>
        <w:t>References</w:t>
      </w:r>
    </w:p>
    <w:p>
      <w:pPr>
        <w:spacing w:after="120"/>
        <w:ind w:left="397" w:hanging="397"/>
      </w:pPr>
      <w:r>
        <w:rPr>
          <w:rFonts w:ascii="Calibri" w:hAnsi="Calibri" w:cs="Calibri"/>
          <w:b w:val="0"/>
          <w:i w:val="0"/>
          <w:color w:val="0F172A"/>
          <w:sz w:val="21"/>
        </w:rPr>
        <w:t>Aharon, N., Orfaig, R., &amp; Bobrovsky, B.-Z. (2022). BoT-SORT: Robust associations multi-pedestrian tracking. arXiv:2206.14651.</w:t>
      </w:r>
    </w:p>
    <w:p>
      <w:pPr>
        <w:spacing w:after="120"/>
        <w:ind w:left="397" w:hanging="397"/>
      </w:pPr>
      <w:r>
        <w:rPr>
          <w:rFonts w:ascii="Calibri" w:hAnsi="Calibri" w:cs="Calibri"/>
          <w:b w:val="0"/>
          <w:i w:val="0"/>
          <w:color w:val="0F172A"/>
          <w:sz w:val="21"/>
        </w:rPr>
        <w:t>Atoum, Y., Chen, L., Liu, A. X., Hsu, S. D. H., &amp; Liu, X. (2017). Automated online exam proctoring. IEEE Transactions on Multimedia, 19(7), 1609–1624.</w:t>
      </w:r>
    </w:p>
    <w:p>
      <w:pPr>
        <w:spacing w:after="120"/>
        <w:ind w:left="397" w:hanging="397"/>
      </w:pPr>
      <w:r>
        <w:rPr>
          <w:rFonts w:ascii="Calibri" w:hAnsi="Calibri" w:cs="Calibri"/>
          <w:b w:val="0"/>
          <w:i w:val="0"/>
          <w:color w:val="0F172A"/>
          <w:sz w:val="21"/>
        </w:rPr>
        <w:t>Bruegge, B., &amp; Dutoit, A. H. (2004). Object-oriented software engineering: Using UML, patterns, and Java (2nd ed.). Prentice-Hall.</w:t>
      </w:r>
    </w:p>
    <w:p>
      <w:pPr>
        <w:spacing w:after="120"/>
        <w:ind w:left="397" w:hanging="397"/>
      </w:pPr>
      <w:r>
        <w:rPr>
          <w:rFonts w:ascii="Calibri" w:hAnsi="Calibri" w:cs="Calibri"/>
          <w:b w:val="0"/>
          <w:i w:val="0"/>
          <w:color w:val="0F172A"/>
          <w:sz w:val="21"/>
        </w:rPr>
        <w:t>Coghlan, S., Miller, T., &amp; Paterson, J. (2021). Good proctor or “Big Brother”? Ethics of online exam supervision technologies. Philosophy &amp; Technology, 34, 1581–1606.</w:t>
      </w:r>
    </w:p>
    <w:p>
      <w:pPr>
        <w:spacing w:after="120"/>
        <w:ind w:left="397" w:hanging="397"/>
      </w:pPr>
      <w:r>
        <w:rPr>
          <w:rFonts w:ascii="Calibri" w:hAnsi="Calibri" w:cs="Calibri"/>
          <w:b w:val="0"/>
          <w:i w:val="0"/>
          <w:color w:val="0F172A"/>
          <w:sz w:val="21"/>
        </w:rPr>
        <w:t>Deng, J., Guo, J., Yang, J., Niannan Xue, Cotsia, I., &amp; Zafeiriou, S. (2019). ArcFace: Additive angular margin loss for deep face recognition. CVPR.</w:t>
      </w:r>
    </w:p>
    <w:p>
      <w:pPr>
        <w:spacing w:after="120"/>
        <w:ind w:left="397" w:hanging="397"/>
      </w:pPr>
      <w:r>
        <w:rPr>
          <w:rFonts w:ascii="Calibri" w:hAnsi="Calibri" w:cs="Calibri"/>
          <w:b w:val="0"/>
          <w:i w:val="0"/>
          <w:color w:val="0F172A"/>
          <w:sz w:val="21"/>
        </w:rPr>
        <w:t>European Parliament &amp; Council. (2024). Regulation (EU) 2024/1689 — Artificial Intelligence Act. Official Journal of the European Union.</w:t>
      </w:r>
    </w:p>
    <w:p>
      <w:pPr>
        <w:spacing w:after="120"/>
        <w:ind w:left="397" w:hanging="397"/>
      </w:pPr>
      <w:r>
        <w:rPr>
          <w:rFonts w:ascii="Calibri" w:hAnsi="Calibri" w:cs="Calibri"/>
          <w:b w:val="0"/>
          <w:i w:val="0"/>
          <w:color w:val="0F172A"/>
          <w:sz w:val="21"/>
        </w:rPr>
        <w:t>Jocher, G., et al. (2023). Ultralytics YOLOv8. GitHub: https://github.com/ultralytics/ultralytics.</w:t>
      </w:r>
    </w:p>
    <w:p>
      <w:pPr>
        <w:spacing w:after="120"/>
        <w:ind w:left="397" w:hanging="397"/>
      </w:pPr>
      <w:r>
        <w:rPr>
          <w:rFonts w:ascii="Calibri" w:hAnsi="Calibri" w:cs="Calibri"/>
          <w:b w:val="0"/>
          <w:i w:val="0"/>
          <w:color w:val="0F172A"/>
          <w:sz w:val="21"/>
        </w:rPr>
        <w:t>Kleppmann, M. (2017). Designing data-intensive applications. O’Reilly.</w:t>
      </w:r>
    </w:p>
    <w:p>
      <w:pPr>
        <w:spacing w:after="120"/>
        <w:ind w:left="397" w:hanging="397"/>
      </w:pPr>
      <w:r>
        <w:rPr>
          <w:rFonts w:ascii="Calibri" w:hAnsi="Calibri" w:cs="Calibri"/>
          <w:b w:val="0"/>
          <w:i w:val="0"/>
          <w:color w:val="0F172A"/>
          <w:sz w:val="21"/>
        </w:rPr>
        <w:t>Lugaresi, C., et al. (2019). MediaPipe: A framework for building perception pipelines. arXiv:1906.08172.</w:t>
      </w:r>
    </w:p>
    <w:p>
      <w:pPr>
        <w:spacing w:after="120"/>
        <w:ind w:left="397" w:hanging="397"/>
      </w:pPr>
      <w:r>
        <w:rPr>
          <w:rFonts w:ascii="Calibri" w:hAnsi="Calibri" w:cs="Calibri"/>
          <w:b w:val="0"/>
          <w:i w:val="0"/>
          <w:color w:val="0F172A"/>
          <w:sz w:val="21"/>
        </w:rPr>
        <w:t>Martin, R. C. (2017). Clean architecture: A craftsman’s guide to software structure and design. Prentice Hall.</w:t>
      </w:r>
    </w:p>
    <w:p>
      <w:pPr>
        <w:spacing w:after="120"/>
        <w:ind w:left="397" w:hanging="397"/>
      </w:pPr>
      <w:r>
        <w:rPr>
          <w:rFonts w:ascii="Calibri" w:hAnsi="Calibri" w:cs="Calibri"/>
          <w:b w:val="0"/>
          <w:i w:val="0"/>
          <w:color w:val="0F172A"/>
          <w:sz w:val="21"/>
        </w:rPr>
        <w:t>Selwyn, N., O’Neill, C., Smith, G., Andrejevic, M., &amp; Gu, X. (2023). A necessary evil? The rise of online exam proctoring in Australian universities. Media International Australia.</w:t>
      </w:r>
    </w:p>
    <w:p>
      <w:pPr>
        <w:spacing w:after="120"/>
        <w:ind w:left="397" w:hanging="397"/>
      </w:pPr>
      <w:r>
        <w:rPr>
          <w:rFonts w:ascii="Calibri" w:hAnsi="Calibri" w:cs="Calibri"/>
          <w:b w:val="0"/>
          <w:i w:val="0"/>
          <w:color w:val="0F172A"/>
          <w:sz w:val="21"/>
        </w:rPr>
        <w:t>Türkiye Cumhuriyeti — Kişisel Verilerin Korunması Kanunu, Kanun No. 6698 (KVKK), 2016.</w:t>
      </w:r>
    </w:p>
    <w:p>
      <w:pPr>
        <w:spacing w:after="120"/>
        <w:ind w:left="397" w:hanging="397"/>
      </w:pPr>
      <w:r>
        <w:rPr>
          <w:rFonts w:ascii="Calibri" w:hAnsi="Calibri" w:cs="Calibri"/>
          <w:b w:val="0"/>
          <w:i w:val="0"/>
          <w:color w:val="0F172A"/>
          <w:sz w:val="21"/>
        </w:rPr>
        <w:t>UNESCO. (2023). Global Education Monitoring Report — Technology in Education.</w:t>
      </w:r>
    </w:p>
    <w:p>
      <w:r>
        <w:br w:type="page"/>
      </w:r>
    </w:p>
    <w:p>
      <w:pPr>
        <w:pStyle w:val="Heading1"/>
      </w:pPr>
      <w:r>
        <w:rPr>
          <w:rFonts w:ascii="Calibri" w:hAnsi="Calibri" w:cs="Calibri"/>
          <w:b/>
          <w:i w:val="0"/>
          <w:color w:val="8C2A1F"/>
          <w:sz w:val="36"/>
        </w:rPr>
        <w:t>Appendix A — Repository Structure</w:t>
      </w:r>
    </w:p>
    <w:p>
      <w:pPr>
        <w:shd w:fill="F1F5F9"/>
        <w:spacing w:after="160"/>
        <w:ind w:left="283"/>
      </w:pPr>
      <w:r>
        <w:rPr>
          <w:rFonts w:ascii="Consolas" w:hAnsi="Consolas" w:cs="Consolas"/>
          <w:b w:val="0"/>
          <w:i w:val="0"/>
          <w:color w:val="0F172A"/>
          <w:sz w:val="19"/>
        </w:rPr>
        <w:t>HorusEye/</w:t>
        <w:br/>
        <w:t>├── portal/                    # Next.js 16 + React 19 portal</w:t>
        <w:br/>
        <w:t>│   ├── app/                   # App Router pages + 93 API routes</w:t>
        <w:br/>
        <w:t>│   ├── components/            # UI, forms, monitors, sprint board</w:t>
        <w:br/>
        <w:t>│   ├── lib/                   # Supabase clients, utils, validators</w:t>
        <w:br/>
        <w:t>│   ├── supabase/migrations/   # 53 SQL migrations</w:t>
        <w:br/>
        <w:t>│   ├── tests/                 # 31 test files (unit + intg + e2e)</w:t>
        <w:br/>
        <w:t>│   ├── proxy.ts               # Next 16 middleware → role gating</w:t>
        <w:br/>
        <w:t>│   └── Dockerfile             # Multi-stage, node:20-alpine</w:t>
        <w:br/>
        <w:t>├── ai-service/                # FastAPI + Python 3.12</w:t>
        <w:br/>
        <w:t>│   ├── src/</w:t>
        <w:br/>
        <w:t>│   │   ├── api/               # FastAPI routers + WS protocol</w:t>
        <w:br/>
        <w:t>│   │   ├── detection/         # YOLO, BoT-SORT, FaceMesh, Pose</w:t>
        <w:br/>
        <w:t>│   │   ├── identity/          # ArcFace, student matcher, re-id</w:t>
        <w:br/>
        <w:t>│   │   ├── scoring/rules/     # 16 rule files</w:t>
        <w:br/>
        <w:t>│   │   ├── persistence/       # Supabase client + IncidentWriter</w:t>
        <w:br/>
        <w:t>│   │   └── reports/           # Per-session performance JSON</w:t>
        <w:br/>
        <w:t>│   ├── tests/                 # 46 pytest files</w:t>
        <w:br/>
        <w:t>│   ├── config.yaml            # Rule thresholds</w:t>
        <w:br/>
        <w:t>│   └── Dockerfile             # python:3.12-slim, pre-baked weights</w:t>
        <w:br/>
        <w:t>├── infra/                     # AWS CDK (TypeScript)</w:t>
        <w:br/>
        <w:t>│   ├── bin/infra.ts           # Entry: 4 stacks (portal × 2, AI × 2)</w:t>
        <w:br/>
        <w:t>│   └── lib/                   # network, registry, service, ai-service</w:t>
        <w:br/>
        <w:t>├── PRD/                       # 22 product requirement documents</w:t>
        <w:br/>
        <w:t>├── scripts/                   # PRD validator, env-var check</w:t>
        <w:br/>
        <w:t>├── .github/workflows/         # 4 GitHub Actions workflows</w:t>
        <w:br/>
        <w:t>└── docs/                      # Reports, runbooks, training notes</w:t>
      </w:r>
    </w:p>
    <w:p>
      <w:r>
        <w:br w:type="page"/>
      </w:r>
    </w:p>
    <w:p>
      <w:pPr>
        <w:pStyle w:val="Heading1"/>
      </w:pPr>
      <w:r>
        <w:rPr>
          <w:rFonts w:ascii="Calibri" w:hAnsi="Calibri" w:cs="Calibri"/>
          <w:b/>
          <w:i w:val="0"/>
          <w:color w:val="8C2A1F"/>
          <w:sz w:val="36"/>
        </w:rPr>
        <w:t>Appendix B — User's Manual</w:t>
      </w:r>
    </w:p>
    <w:p>
      <w:pPr>
        <w:spacing w:after="120" w:line="300" w:lineRule="auto"/>
      </w:pPr>
      <w:r>
        <w:rPr>
          <w:rFonts w:ascii="Calibri" w:hAnsi="Calibri" w:cs="Calibri"/>
          <w:b w:val="0"/>
          <w:i w:val="0"/>
          <w:color w:val="0F172A"/>
          <w:sz w:val="22"/>
        </w:rPr>
        <w:t>Per CMPE 492 syllabus (§3.6.10), this appendix accompanies the hardcopy / DVD submission with installation and operating instructions.</w:t>
      </w:r>
    </w:p>
    <w:p>
      <w:pPr>
        <w:pStyle w:val="Heading2"/>
      </w:pPr>
      <w:r>
        <w:rPr>
          <w:rFonts w:ascii="Calibri" w:hAnsi="Calibri" w:cs="Calibri"/>
          <w:b/>
          <w:i w:val="0"/>
          <w:color w:val="8C2A1F"/>
          <w:sz w:val="28"/>
        </w:rPr>
        <w:t>B.1 Prerequisites</w:t>
      </w:r>
    </w:p>
    <w:p>
      <w:pPr>
        <w:pStyle w:val="ListBullet"/>
        <w:spacing w:after="60"/>
      </w:pPr>
      <w:r>
        <w:rPr>
          <w:rFonts w:ascii="Calibri" w:hAnsi="Calibri" w:cs="Calibri"/>
          <w:b w:val="0"/>
          <w:i w:val="0"/>
          <w:color w:val="0F172A"/>
          <w:sz w:val="21"/>
        </w:rPr>
        <w:t>Node.js 20 LTS</w:t>
      </w:r>
    </w:p>
    <w:p>
      <w:pPr>
        <w:pStyle w:val="ListBullet"/>
        <w:spacing w:after="60"/>
      </w:pPr>
      <w:r>
        <w:rPr>
          <w:rFonts w:ascii="Calibri" w:hAnsi="Calibri" w:cs="Calibri"/>
          <w:b w:val="0"/>
          <w:i w:val="0"/>
          <w:color w:val="0F172A"/>
          <w:sz w:val="21"/>
        </w:rPr>
        <w:t>Python 3.12</w:t>
      </w:r>
    </w:p>
    <w:p>
      <w:pPr>
        <w:pStyle w:val="ListBullet"/>
        <w:spacing w:after="60"/>
      </w:pPr>
      <w:r>
        <w:rPr>
          <w:rFonts w:ascii="Calibri" w:hAnsi="Calibri" w:cs="Calibri"/>
          <w:b w:val="0"/>
          <w:i w:val="0"/>
          <w:color w:val="0F172A"/>
          <w:sz w:val="21"/>
        </w:rPr>
        <w:t>Docker Desktop (24+)</w:t>
      </w:r>
    </w:p>
    <w:p>
      <w:pPr>
        <w:pStyle w:val="ListBullet"/>
        <w:spacing w:after="60"/>
      </w:pPr>
      <w:r>
        <w:rPr>
          <w:rFonts w:ascii="Calibri" w:hAnsi="Calibri" w:cs="Calibri"/>
          <w:b w:val="0"/>
          <w:i w:val="0"/>
          <w:color w:val="0F172A"/>
          <w:sz w:val="21"/>
        </w:rPr>
        <w:t>Supabase CLI (for local development)</w:t>
      </w:r>
    </w:p>
    <w:p>
      <w:pPr>
        <w:pStyle w:val="ListBullet"/>
        <w:spacing w:after="60"/>
      </w:pPr>
      <w:r>
        <w:rPr>
          <w:rFonts w:ascii="Calibri" w:hAnsi="Calibri" w:cs="Calibri"/>
          <w:b w:val="0"/>
          <w:i w:val="0"/>
          <w:color w:val="0F172A"/>
          <w:sz w:val="21"/>
        </w:rPr>
        <w:t>An IP camera or webcam (for AI service smoke test)</w:t>
      </w:r>
    </w:p>
    <w:p>
      <w:pPr>
        <w:pStyle w:val="Heading2"/>
      </w:pPr>
      <w:r>
        <w:rPr>
          <w:rFonts w:ascii="Calibri" w:hAnsi="Calibri" w:cs="Calibri"/>
          <w:b/>
          <w:i w:val="0"/>
          <w:color w:val="8C2A1F"/>
          <w:sz w:val="28"/>
        </w:rPr>
        <w:t>B.2 Running the Portal Locally</w:t>
      </w:r>
    </w:p>
    <w:p>
      <w:pPr>
        <w:shd w:fill="F1F5F9"/>
        <w:spacing w:after="160"/>
        <w:ind w:left="283"/>
      </w:pPr>
      <w:r>
        <w:rPr>
          <w:rFonts w:ascii="Consolas" w:hAnsi="Consolas" w:cs="Consolas"/>
          <w:b w:val="0"/>
          <w:i w:val="0"/>
          <w:color w:val="0F172A"/>
          <w:sz w:val="19"/>
        </w:rPr>
        <w:t>git clone https://github.com/kursatozturk/HorusEye.git</w:t>
        <w:br/>
        <w:t>cd HorusEye/portal</w:t>
        <w:br/>
        <w:t>npm install</w:t>
        <w:br/>
        <w:t>cp .env.example .env.local      # fill SUPABASE_URL / ANON_KEY</w:t>
        <w:br/>
        <w:t>supabase start                   # launches local Postgres + Auth</w:t>
        <w:br/>
        <w:t>supabase db reset                # applies all 53 migrations + seeds</w:t>
        <w:br/>
        <w:t>npm run dev                      # http://localhost:3000</w:t>
      </w:r>
    </w:p>
    <w:p>
      <w:pPr>
        <w:pStyle w:val="Heading2"/>
      </w:pPr>
      <w:r>
        <w:rPr>
          <w:rFonts w:ascii="Calibri" w:hAnsi="Calibri" w:cs="Calibri"/>
          <w:b/>
          <w:i w:val="0"/>
          <w:color w:val="8C2A1F"/>
          <w:sz w:val="28"/>
        </w:rPr>
        <w:t>B.3 Running the AI Service Locally</w:t>
      </w:r>
    </w:p>
    <w:p>
      <w:pPr>
        <w:shd w:fill="F1F5F9"/>
        <w:spacing w:after="160"/>
        <w:ind w:left="283"/>
      </w:pPr>
      <w:r>
        <w:rPr>
          <w:rFonts w:ascii="Consolas" w:hAnsi="Consolas" w:cs="Consolas"/>
          <w:b w:val="0"/>
          <w:i w:val="0"/>
          <w:color w:val="0F172A"/>
          <w:sz w:val="19"/>
        </w:rPr>
        <w:t>cd HorusEye/ai-service</w:t>
        <w:br/>
        <w:t>docker compose up --build        # pre-bakes YOLO + InsightFace</w:t>
        <w:br/>
        <w:t>curl http://localhost:8000/health</w:t>
        <w:br/>
        <w:t># WebSocket endpoints:</w:t>
        <w:br/>
        <w:t>#   ws://localhost:8000/ws/sessions/{id}/detections</w:t>
        <w:br/>
        <w:t>#   ws://localhost:8000/ws/sessions/{id}/video</w:t>
      </w:r>
    </w:p>
    <w:p>
      <w:pPr>
        <w:pStyle w:val="Heading2"/>
      </w:pPr>
      <w:r>
        <w:rPr>
          <w:rFonts w:ascii="Calibri" w:hAnsi="Calibri" w:cs="Calibri"/>
          <w:b/>
          <w:i w:val="0"/>
          <w:color w:val="8C2A1F"/>
          <w:sz w:val="28"/>
        </w:rPr>
        <w:t>B.4 Running the Full Validation Suite</w:t>
      </w:r>
    </w:p>
    <w:p>
      <w:pPr>
        <w:shd w:fill="F1F5F9"/>
        <w:spacing w:after="160"/>
        <w:ind w:left="283"/>
      </w:pPr>
      <w:r>
        <w:rPr>
          <w:rFonts w:ascii="Consolas" w:hAnsi="Consolas" w:cs="Consolas"/>
          <w:b w:val="0"/>
          <w:i w:val="0"/>
          <w:color w:val="0F172A"/>
          <w:sz w:val="19"/>
        </w:rPr>
        <w:t># Portal — TypeScript, ESLint, Vitest with coverage</w:t>
        <w:br/>
        <w:t>cd portal</w:t>
        <w:br/>
        <w:t>npm run validate</w:t>
        <w:br/>
        <w:br/>
        <w:t># AI service — pytest with async support</w:t>
        <w:br/>
        <w:t>cd ../ai-service</w:t>
        <w:br/>
        <w:t>pip install -r requirements.txt</w:t>
        <w:br/>
        <w:t>pytest tests/</w:t>
      </w:r>
    </w:p>
    <w:p>
      <w:pPr>
        <w:pStyle w:val="Heading2"/>
      </w:pPr>
      <w:r>
        <w:rPr>
          <w:rFonts w:ascii="Calibri" w:hAnsi="Calibri" w:cs="Calibri"/>
          <w:b/>
          <w:i w:val="0"/>
          <w:color w:val="8C2A1F"/>
          <w:sz w:val="28"/>
        </w:rPr>
        <w:t>B.5 Deploying to AWS</w:t>
      </w:r>
    </w:p>
    <w:p>
      <w:pPr>
        <w:spacing w:after="120" w:line="300" w:lineRule="auto"/>
      </w:pPr>
      <w:r>
        <w:rPr>
          <w:rFonts w:ascii="Calibri" w:hAnsi="Calibri" w:cs="Calibri"/>
          <w:b w:val="0"/>
          <w:i w:val="0"/>
          <w:color w:val="0F172A"/>
          <w:sz w:val="22"/>
        </w:rPr>
        <w:t>Deployment is handled by GitHub Actions: pushing to the develop branch deploys to staging; pushing to main (with a manual environment approval) deploys to production. To run the CDK manually for inspection:</w:t>
      </w:r>
    </w:p>
    <w:p>
      <w:pPr>
        <w:shd w:fill="F1F5F9"/>
        <w:spacing w:after="160"/>
        <w:ind w:left="283"/>
      </w:pPr>
      <w:r>
        <w:rPr>
          <w:rFonts w:ascii="Consolas" w:hAnsi="Consolas" w:cs="Consolas"/>
          <w:b w:val="0"/>
          <w:i w:val="0"/>
          <w:color w:val="0F172A"/>
          <w:sz w:val="19"/>
        </w:rPr>
        <w:t>cd infra</w:t>
        <w:br/>
        <w:t>npm install</w:t>
        <w:br/>
        <w:t>npx cdk synth HorusEye-Staging</w:t>
        <w:br/>
        <w:t>npx cdk deploy HorusEye-Staging --require-approval never</w:t>
      </w:r>
    </w:p>
    <w:p>
      <w:r>
        <w:br w:type="page"/>
      </w:r>
    </w:p>
    <w:p>
      <w:pPr>
        <w:pStyle w:val="Heading1"/>
      </w:pPr>
      <w:r>
        <w:rPr>
          <w:rFonts w:ascii="Calibri" w:hAnsi="Calibri" w:cs="Calibri"/>
          <w:b/>
          <w:i w:val="0"/>
          <w:color w:val="8C2A1F"/>
          <w:sz w:val="36"/>
        </w:rPr>
        <w:t>Appendix C — Acknowledgements</w:t>
      </w:r>
    </w:p>
    <w:p>
      <w:pPr>
        <w:spacing w:after="120" w:line="300" w:lineRule="auto"/>
      </w:pPr>
      <w:r>
        <w:rPr>
          <w:rFonts w:ascii="Calibri" w:hAnsi="Calibri" w:cs="Calibri"/>
          <w:b w:val="0"/>
          <w:i w:val="0"/>
          <w:color w:val="0F172A"/>
          <w:sz w:val="22"/>
        </w:rPr>
        <w:t>We thank our supervisor Fırat Akba for guidance across both semesters; the CMPE 491 / 492 course coordinator Gökçe Nur Yılmaz; the TED University Department of Computer Engineering for the project framework; the open-source communities behind Next.js, Supabase, FastAPI, Ultralytics, MediaPipe and InsightFace whose work made this project possible; and the volunteer participants who consented to appear in our dry-run videos.</w:t>
      </w:r>
    </w:p>
    <w:p>
      <w:pPr>
        <w:spacing w:after="120" w:line="300" w:lineRule="auto"/>
      </w:pPr>
      <w:r>
        <w:rPr>
          <w:rFonts w:ascii="Calibri" w:hAnsi="Calibri" w:cs="Calibri"/>
          <w:b w:val="0"/>
          <w:i w:val="0"/>
          <w:color w:val="0F172A"/>
          <w:sz w:val="22"/>
        </w:rPr>
      </w:r>
    </w:p>
    <w:p>
      <w:pPr>
        <w:spacing w:after="120" w:line="300" w:lineRule="auto"/>
      </w:pPr>
      <w:r>
        <w:rPr>
          <w:rFonts w:ascii="Calibri" w:hAnsi="Calibri" w:cs="Calibri"/>
          <w:b w:val="0"/>
          <w:i/>
          <w:color w:val="0F172A"/>
          <w:sz w:val="20"/>
        </w:rPr>
        <w:t>Submitted: 15 May 2026.</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8C2A1F"/>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8C2A1F"/>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Calibri" w:hAnsi="Calibri"/>
      <w:b/>
      <w:bCs/>
      <w:i/>
      <w:iCs/>
      <w:color w:val="0F172A"/>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