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tLeast" w:line="345"/>
        <w:ind w:hanging="0" w:left="0" w:right="0"/>
        <w:jc w:val="both"/>
        <w:rPr>
          <w:b w:val="false"/>
          <w:i w:val="false"/>
          <w:i w:val="false"/>
          <w:caps w:val="false"/>
          <w:smallCaps w:val="false"/>
        </w:rPr>
      </w:pPr>
      <w:r>
        <w:rPr>
          <w:rFonts w:ascii="Calibri;Calibri_EmbeddedFont;Calibri_MSFontService;sans-serif" w:hAnsi="Calibri;Calibri_EmbeddedFont;Calibri_MSFontService;sans-serif"/>
          <w:b w:val="false"/>
          <w:i w:val="false"/>
          <w:caps w:val="false"/>
          <w:smallCaps w:val="false"/>
          <w:color w:val="000000"/>
          <w:sz w:val="24"/>
          <w:lang w:val="pt-BR"/>
        </w:rPr>
        <w:t>, cumprindo a determinação do Comunicado CG nº 764/2022 (Processo nº 2022/33323), publicado no DOE de 13/12/2022, e diante dos novos parâmetros informados pelo INSS no OFÍCIO n. 00003/2021/GABINETE/PPREVSP2/PGF/AGU, onde consta: “</w:t>
      </w:r>
      <w:r>
        <w:rPr>
          <w:rFonts w:ascii="Calibri;Calibri_EmbeddedFont;Calibri_MSFontService;sans-serif" w:hAnsi="Calibri;Calibri_EmbeddedFont;Calibri_MSFontService;sans-serif"/>
          <w:b w:val="false"/>
          <w:i/>
          <w:iCs/>
          <w:caps w:val="false"/>
          <w:smallCaps w:val="false"/>
          <w:color w:val="000000"/>
          <w:sz w:val="24"/>
          <w:lang w:val="pt-BR"/>
        </w:rPr>
        <w:t xml:space="preserve">Desta feita, para o pagamento de perícias a serem realizadas a partir de 01/04/2021 deverá haver a intimação do INSS nos autos dos processos judiciais, com a determinação de depósito do valor da perícia, que deverá ser especificado.”, devolvemos os presentes autos ao cartório para adequação às determinações do Comunicado CG nº 764/2022 e aos parâmetros do INSS, quais sejam: determinação do valor da perícia; no caso de perícia dupla (perito principal e perito especialista), determinação de duas perícias; determinação de vistoria no local de trabalho se for o caso. </w:t>
      </w:r>
      <w:r>
        <w:rPr>
          <w:rFonts w:ascii="Calibri;Calibri_EmbeddedFont;Calibri_MSFontService;sans-serif" w:hAnsi="Calibri;Calibri_EmbeddedFont;Calibri_MSFontService;sans-serif"/>
          <w:b w:val="false"/>
          <w:i w:val="false"/>
          <w:caps w:val="false"/>
          <w:smallCaps w:val="false"/>
          <w:color w:val="000000"/>
          <w:sz w:val="24"/>
          <w:lang w:val="pt-BR"/>
        </w:rPr>
        <w:t xml:space="preserve">No mesmo sentido, em que pese o fato de ser prerrogativa do Juízo a nomeação do perito, em consonância com as novas práticas adotadas pelo INSS e primando pela celeridade processual, indicamos, como sugestão, que a(s) perícia(s) seja(m) realizada(s) pelo(a)(s) perito(a)(s) </w:t>
      </w:r>
      <w:r>
        <w:rPr>
          <w:rFonts w:ascii="Calibri;Calibri_EmbeddedFont;Calibri_MSFontService;sans-serif" w:hAnsi="Calibri;Calibri_EmbeddedFont;Calibri_MSFontService;sans-serif"/>
          <w:b/>
          <w:bCs/>
          <w:i w:val="false"/>
          <w:caps w:val="false"/>
          <w:smallCaps w:val="false"/>
          <w:color w:val="C9211E"/>
          <w:sz w:val="24"/>
          <w:shd w:fill="FFFF00" w:val="clear"/>
          <w:lang w:val="pt-BR"/>
        </w:rPr>
        <w:t>Dr(a)(s). {{perito}}</w:t>
      </w:r>
      <w:r>
        <w:rPr>
          <w:rFonts w:ascii="Calibri;Calibri_EmbeddedFont;Calibri_MSFontService;sans-serif" w:hAnsi="Calibri;Calibri_EmbeddedFont;Calibri_MSFontService;sans-serif"/>
          <w:b w:val="false"/>
          <w:i w:val="false"/>
          <w:caps w:val="false"/>
          <w:smallCaps w:val="false"/>
          <w:color w:val="000000"/>
          <w:sz w:val="24"/>
          <w:lang w:val="pt-BR"/>
        </w:rPr>
        <w:t xml:space="preserve">, </w:t>
      </w:r>
      <w:r>
        <w:rPr>
          <w:rFonts w:ascii="Calibri;Calibri_EmbeddedFont;Calibri_MSFontService;sans-serif" w:hAnsi="Calibri;Calibri_EmbeddedFont;Calibri_MSFontService;sans-serif"/>
          <w:b w:val="false"/>
          <w:i w:val="false"/>
          <w:caps w:val="false"/>
          <w:smallCaps w:val="false"/>
          <w:color w:val="000000"/>
          <w:sz w:val="24"/>
          <w:u w:val="single"/>
          <w:lang w:val="pt-BR"/>
        </w:rPr>
        <w:t>sendo o agendamento promovido após o destacamento dos respectivos honorários.</w:t>
      </w:r>
      <w:r>
        <w:rPr>
          <w:b w:val="false"/>
          <w:i w:val="false"/>
          <w:caps w:val="false"/>
          <w:smallCaps w:val="false"/>
          <w:color w:val="000000"/>
        </w:rPr>
        <w:t> 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altName w:val="Calibri_EmbeddedFont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174</Words>
  <Characters>1000</Characters>
  <CharactersWithSpaces>1174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2026-04-06T01:54:50Z</dcterms:created>
  <dc:creator/>
  <dc:description/>
  <dc:language>pt-BR</dc:language>
  <cp:lastModifiedBy/>
  <dcterms:modified xsi:type="dcterms:W3CDTF">2026-04-06T01:56:58Z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