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0D8F86"/>
          <w:sz w:val="72"/>
          <w:szCs w:val="72"/>
        </w:rPr>
        <w:t xml:space="preserve">CargoFlow</w:t>
      </w:r>
    </w:p>
    <w:p>
      <w:pPr>
        <w:spacing w:after="100" w:before="200"/>
        <w:jc w:val="center"/>
      </w:pPr>
      <w:r>
        <w:rPr>
          <w:color w:val="595959"/>
          <w:sz w:val="26"/>
          <w:szCs w:val="26"/>
        </w:rPr>
        <w:t xml:space="preserve">Arquitectura Técnica</w:t>
      </w:r>
    </w:p>
    <w:p>
      <w:pPr>
        <w:spacing w:before="600"/>
        <w:jc w:val="center"/>
      </w:pPr>
      <w:r>
        <w:rPr>
          <w:b/>
          <w:bCs/>
          <w:color w:val="14B8AC"/>
          <w:sz w:val="24"/>
          <w:szCs w:val="24"/>
        </w:rPr>
        <w:t xml:space="preserve">Modelo de datos PostgreSQL · Endpoints FastAPI · Estrategia multiempresa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Versión 1.0</w:t>
      </w:r>
    </w:p>
    <w:p>
      <w:pPr>
        <w:spacing w:before="60"/>
        <w:jc w:val="center"/>
      </w:pPr>
      <w:r>
        <w:rPr>
          <w:color w:val="595959"/>
          <w:sz w:val="22"/>
          <w:szCs w:val="22"/>
        </w:rPr>
        <w:t xml:space="preserve">Agosto 2026</w:t>
      </w:r>
    </w:p>
    <w:p>
      <w:pPr>
        <w:spacing w:before="1600"/>
        <w:jc w:val="center"/>
      </w:pPr>
      <w:r>
        <w:rPr>
          <w:i/>
          <w:iCs/>
          <w:color w:val="595959"/>
          <w:sz w:val="20"/>
          <w:szCs w:val="20"/>
        </w:rPr>
        <w:t xml:space="preserve">Documento de punto de partida para el equipo de desarrollo. Complementa a CargoFlow_PRD.docx y CargoFlow_UX_Spec.docx.</w:t>
      </w:r>
    </w:p>
    <w:p>
      <w:r>
        <w:br w:type="page"/>
      </w:r>
    </w:p>
    <w:p>
      <w:pPr>
        <w:pStyle w:val="Heading1"/>
        <w:spacing w:after="200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400"/>
      </w:pPr>
      <w:r>
        <w:t xml:space="preserve">1. Estrategia multiempresa</w:t>
      </w:r>
    </w:p>
    <w:p>
      <w:pPr>
        <w:spacing w:after="160"/>
      </w:pPr>
      <w:r>
        <w:rPr>
          <w:sz w:val="22"/>
          <w:szCs w:val="22"/>
        </w:rPr>
        <w:t xml:space="preserve">Se recomienda una base de datos compartida (single database, shared schema) con aislamiento reforzado por Row-Level Security (RLS) de PostgreSQL, en lugar de un esquema separado por empresa.</w:t>
      </w:r>
    </w:p>
    <w:p>
      <w:pPr>
        <w:pStyle w:val="Heading2"/>
        <w:spacing w:after="150" w:before="300"/>
      </w:pPr>
      <w:r>
        <w:t xml:space="preserve">1.1 Por qué no schema-per-tenant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 migración debe ejecutarse una vez por empresa, lo cual se vuelve inmanejable pasadas 20-30 empresas.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pools de conexión y el enrutamiento de queries se complican operativamente.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analítica propia de la plataforma (no la del cliente) requiere consultar N esquemas en vez de uno.</w:t>
      </w:r>
    </w:p>
    <w:p>
      <w:pPr>
        <w:pStyle w:val="Heading2"/>
        <w:spacing w:after="150" w:before="300"/>
      </w:pPr>
      <w:r>
        <w:t xml:space="preserve">1.2 Mecanismo recomendado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Toda tabla con datos de negocio incluye una columna empresa_id (FK a empresas.id).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activa Row-Level Security sobre cada una de esas tablas, con una política que exige empresa_id = current_setting('app.current_tenant').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 cada request autenticado, FastAPI ejecuta SET LOCAL app.current_tenant = '&lt;empresa_id&gt;' dentro de la transacción, antes de cualquier consulta.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aislamiento queda garantizado por el motor de base de datos, no solo por disciplina en el código de la aplicación — un WHERE olvidado no expone datos de otra empresa.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-- Ejemplo de política RLS sobre la tabla operaciones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ALTER TABLE operaciones ENABLE ROW LEVEL SECURITY;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CREATE POLICY tenant_isolation ON operaciones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USING (empresa_id = current_setting('app.current_tenant')::uuid);</w:t>
            </w:r>
          </w:p>
        </w:tc>
      </w:tr>
    </w:tbl>
    <w:p>
      <w:pPr>
        <w:pStyle w:val="Heading2"/>
        <w:spacing w:after="150" w:before="300"/>
      </w:pPr>
      <w:r>
        <w:t xml:space="preserve">1.3 Identificadores</w:t>
      </w:r>
    </w:p>
    <w:p>
      <w:pPr>
        <w:spacing w:after="160"/>
      </w:pPr>
      <w:r>
        <w:rPr>
          <w:sz w:val="22"/>
          <w:szCs w:val="22"/>
        </w:rPr>
        <w:t xml:space="preserve">Se recomienda UUID como llave primaria en todas las tablas (en vez de enteros autoincrementales), para evitar colisiones al migrar datos entre entornos y no exponer volumetría de negocio en las URLs de la API.</w:t>
      </w:r>
    </w:p>
    <w:p>
      <w:pPr>
        <w:pStyle w:val="Heading1"/>
        <w:pageBreakBefore/>
        <w:spacing w:after="200" w:before="400"/>
      </w:pPr>
      <w:r>
        <w:t xml:space="preserve">2. Modelo de datos (PostgreSQL)</w:t>
      </w:r>
    </w:p>
    <w:p>
      <w:pPr>
        <w:spacing w:after="160"/>
      </w:pPr>
      <w:r>
        <w:rPr>
          <w:sz w:val="22"/>
          <w:szCs w:val="22"/>
        </w:rPr>
        <w:t xml:space="preserve">Definición de las tablas núcleo, agrupadas por dominio. Los tipos son orientativos; el equipo de desarrollo puede ajustar precisión numérica, longitudes de texto y restricciones adicionales durante la implementación.</w:t>
      </w:r>
    </w:p>
    <w:p>
      <w:pPr>
        <w:pStyle w:val="Heading2"/>
        <w:spacing w:after="150" w:before="300"/>
      </w:pPr>
      <w:r>
        <w:t xml:space="preserve">2.1 Plataforma y usuarios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empresas(id UUID PK, nombre TEXT, nit TEXT, plan TEXT, estado TEXT, creado_en TIMESTAMPTZ)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usuarios(id UUID PK, empresa_id UUID FK, nombre TEXT, email TEXT UNIQUE,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password_hash TEXT, rol TEXT, tipo_acceso TEXT, activo BOOLEAN, creado_en TIMESTAMPTZ)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-- rol: admin_plataforma | gerente | supervisor | auxiliar | auditor | facturacion</w:t>
            </w:r>
          </w:p>
        </w:tc>
      </w:tr>
    </w:tbl>
    <w:p>
      <w:pPr>
        <w:pStyle w:val="Heading2"/>
        <w:spacing w:after="150" w:before="300"/>
      </w:pPr>
      <w:r>
        <w:t xml:space="preserve">2.2 Clientes y proveedores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clientes(id UUID PK, empresa_id UUID FK, nombre TEXT, nit TEXT,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condicion_pago TEXT, cupo_credito NUMERIC, activo BOOLEAN)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-- condicion_pago: contado | credito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proveedores(id UUID PK, empresa_id UUID FK, nombre TEXT, nit TEXT,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nivel_riesgo TEXT, nivel_inspeccion_actual TEXT, actualizado_en TIMESTAMPTZ)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-- nivel_riesgo: confiable | riesgoso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-- nivel_inspeccion_actual: normal | reforzado | reducido</w:t>
            </w:r>
          </w:p>
        </w:tc>
      </w:tr>
    </w:tbl>
    <w:p>
      <w:pPr>
        <w:pStyle w:val="Heading2"/>
        <w:spacing w:after="150" w:before="300"/>
      </w:pPr>
      <w:r>
        <w:t xml:space="preserve">2.3 Vehículos, conductores, cuadrillas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tipos_vehiculo(id UUID PK, empresa_id UUID FK, nombre TEXT, tarifa_base NUMERIC)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vehiculos(id UUID PK, empresa_id UUID FK, placa TEXT, tipo_vehiculo_id UUID FK)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conductores(id UUID PK, empresa_id UUID FK, nombre TEXT, documento TEXT)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cuadrillas(id UUID PK, empresa_id UUID FK, nombre TEXT, estado TEXT)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-- estado: disponible | asignada | en_trabajo | en_pausa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operarios(id UUID PK, empresa_id UUID FK, nombre TEXT, documento TEXT)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cuadrilla_operarios(cuadrilla_id UUID FK, operario_id UUID FK)  -- N:M</w:t>
            </w:r>
          </w:p>
        </w:tc>
      </w:tr>
    </w:tbl>
    <w:p>
      <w:pPr>
        <w:pStyle w:val="Heading2"/>
        <w:spacing w:after="150" w:before="300"/>
      </w:pPr>
      <w:r>
        <w:t xml:space="preserve">2.4 Servicios y tarifas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servicios(id UUID PK, empresa_id UUID FK, nombre TEXT)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-- cargue | descargue | picking | maquila | reempaque | etiquetado | conteo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tarifas(id UUID PK, empresa_id UUID FK, cliente_id UUID FK, servicio_id UUID FK,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criterio TEXT, valor NUMERIC, tipo_vehiculo_id UUID FK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vigente_desde DATE, vigente_hasta DATE NULL)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-- criterio: cajas | unidades | vehiculo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-- vigente_hasta NULL = tarifa activa; nunca se sobrescribe, se cierra vigencia y se crea otra fila</w:t>
            </w:r>
          </w:p>
        </w:tc>
      </w:tr>
    </w:tbl>
    <w:p>
      <w:pPr>
        <w:pStyle w:val="Heading2"/>
        <w:spacing w:after="150" w:before="300"/>
      </w:pPr>
      <w:r>
        <w:t xml:space="preserve">2.5 Operaciones (tabla núcleo)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operaciones(id UUID PK, empresa_id UUID FK, cliente_id UUID FK, proveedor_id UUID FK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servicio_id UUID FK, vehiculo_id UUID FK, conductor_id UUID FK, muelle TEXT,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cuadrilla_id UUID FK, tarifa_id UUID FK, criterio_cobro TEXT,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cantidad_estimada NUMERIC NULL, cantidad_real NUMERIC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estado TEXT, hora_inicio TIMESTAMPTZ, hora_fin TIMESTAMPTZ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tiempo_pausado_segundos INT DEFAULT 0, creado_por UUID FK, creado_en TIMESTAMPTZ)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-- estado: creada | asignada | en_curso | pausada | finalizada | auditada | facturada | cerrada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La cantidad_estimada nunca se usa para liquidar; solo cantidad_real, registrada al cierre. Ver Sección 2.7.</w:t>
      </w:r>
    </w:p>
    <w:p>
      <w:pPr>
        <w:pStyle w:val="Heading2"/>
        <w:spacing w:after="150" w:before="300"/>
      </w:pPr>
      <w:r>
        <w:t xml:space="preserve">2.6 Evidencias, incidencias y pagos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evidencias(id UUID PK, operacion_id UUID FK, tipo TEXT, url_archivo TEXT, creado_en TIMESTAMPTZ)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-- tipo: foto_llegada | pedido | factura | foto_operacion | firma_cliente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--       soporte_pago | foto_conductor | foto_vehiculo | evidencia_defecto_aql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incidencias(id UUID PK, operacion_id UUID FK, tipo TEXT, descripcion TEXT,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foto_url TEXT NULL, creado_por UUID FK, creado_en TIMESTAMPTZ)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pagos(id UUID PK, operacion_id UUID FK, forma_pago TEXT, medio_pago TEXT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monto NUMERIC, estado TEXT, creado_en TIMESTAMPTZ)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-- forma_pago: contado | credito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-- estado: pagado | pendiente_cobro  (pendiente_cobro solo aplica si forma_pago = credito)</w:t>
            </w:r>
          </w:p>
        </w:tc>
      </w:tr>
    </w:tbl>
    <w:p>
      <w:pPr>
        <w:pStyle w:val="Heading2"/>
        <w:spacing w:after="150" w:before="300"/>
      </w:pPr>
      <w:r>
        <w:t xml:space="preserve">2.7 Liquidación y facturación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liquidaciones(id UUID PK, operacion_id UUID FK, tarifa_id UUID FK,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cantidad_real NUMERIC, valor_calculado NUMERIC, creado_en TIMESTAMPTZ)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facturas(id UUID PK, empresa_id UUID FK, cliente_id UUID FK, total NUMERIC,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estado TEXT, creado_en TIMESTAMPTZ)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factura_operaciones(factura_id UUID FK, operacion_id UUID FK)  -- N:M</w:t>
            </w:r>
          </w:p>
        </w:tc>
      </w:tr>
    </w:tbl>
    <w:p>
      <w:pPr>
        <w:pStyle w:val="Heading2"/>
        <w:spacing w:after="150" w:before="300"/>
      </w:pPr>
      <w:r>
        <w:t xml:space="preserve">2.8 Military Standard (AQL)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auditorias_aql(id UUID PK, operacion_id UUID FK, proveedor_id UUID FK,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tamano_lote INT, nivel_inspeccion TEXT, tamano_muestra INT,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defectos_criticos INT, defectos_mayores INT, defectos_menores INT,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dictamen TEXT, creado_por UUID FK, creado_en TIMESTAMPTZ)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-- dictamen: aceptado | rechazado</w:t>
            </w:r>
          </w:p>
        </w:tc>
      </w:tr>
    </w:tbl>
    <w:p>
      <w:pPr>
        <w:pStyle w:val="Heading2"/>
        <w:spacing w:after="150" w:before="300"/>
      </w:pPr>
      <w:r>
        <w:t xml:space="preserve">2.9 Inteligencia operativa (agregados)</w:t>
      </w:r>
    </w:p>
    <w:p>
      <w:pPr>
        <w:spacing w:after="160"/>
      </w:pPr>
      <w:r>
        <w:rPr>
          <w:sz w:val="22"/>
          <w:szCs w:val="22"/>
        </w:rPr>
        <w:t xml:space="preserve">Estas tablas se recalculan de forma periódica (job programado), no se escriben directamente desde la operación diaria.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perfiles_proveedor(proveedor_id UUID PK/FK, promedio_cantidad NUMERIC,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unidad_medida TEXT, clasificacion_tamano TEXT, tiempo_promedio_operacion INTERVAL,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tasa_rechazo_aql NUMERIC, tipo_vehiculo_frecuente UUID FK, actualizado_en TIMESTAMPTZ)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indicadores_cuadrilla(cuadrilla_id UUID FK, periodo DATE, productividad_promedio NUMERIC,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ranking INT, PRIMARY KEY (cuadrilla_id, periodo))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indicadores_operativos(empresa_id UUID FK, periodo DATE, dia_semana_pico TEXT,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franja_horaria_pico TEXT, tipo_vehiculo_frecuente UUID FK,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B2A"/>
                <w:sz w:val="18"/>
                <w:szCs w:val="18"/>
              </w:rPr>
              <w:t xml:space="preserve">  PRIMARY KEY (empresa_id, periodo))</w:t>
            </w:r>
          </w:p>
        </w:tc>
      </w:tr>
    </w:tbl>
    <w:p>
      <w:pPr>
        <w:pStyle w:val="Heading1"/>
        <w:pageBreakBefore/>
        <w:spacing w:after="200" w:before="400"/>
      </w:pPr>
      <w:r>
        <w:t xml:space="preserve">3. Endpoints de FastAPI</w:t>
      </w:r>
    </w:p>
    <w:p>
      <w:pPr>
        <w:spacing w:after="160"/>
      </w:pPr>
      <w:r>
        <w:rPr>
          <w:sz w:val="22"/>
          <w:szCs w:val="22"/>
        </w:rPr>
        <w:t xml:space="preserve">Organizados por módulo. Todos los endpoints de negocio requieren autenticación JWT y quedan automáticamente acotados a la empresa del usuario autenticado (Sección 1.2).</w:t>
      </w:r>
    </w:p>
    <w:p>
      <w:pPr>
        <w:pStyle w:val="Heading2"/>
        <w:spacing w:after="150" w:before="300"/>
      </w:pPr>
      <w:r>
        <w:t xml:space="preserve">3.1 Autenticación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360"/>
      </w:tblGrid>
      <w:tr>
        <w:trPr>
          <w:tblHeader/>
        </w:trPr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/auth/login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Autentica un usuario y retorna el JWT con empresa_id y rol embebidos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/auth/refresh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Renueva el token de acceso</w:t>
            </w:r>
          </w:p>
        </w:tc>
      </w:tr>
    </w:tbl>
    <w:p>
      <w:pPr>
        <w:pStyle w:val="Heading2"/>
        <w:spacing w:after="150" w:before="300"/>
      </w:pPr>
      <w:r>
        <w:t xml:space="preserve">3.2 Empresas y usuarios (Administración)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360"/>
      </w:tblGrid>
      <w:tr>
        <w:trPr>
          <w:tblHeader/>
        </w:trPr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D8F86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/empresas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Lista empresas (solo rol admin_plataforma)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/empresas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 una nueva empresa (tenant)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D8F86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/usuarios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Lista usuarios de la empresa del token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/usuarios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 un usuario y le asigna rol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8A6D1F"/>
                <w:sz w:val="19"/>
                <w:szCs w:val="19"/>
              </w:rPr>
              <w:t xml:space="preserve">PATCH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/usuarios/{id}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Actualiza rol, estado o datos de un usuario</w:t>
            </w:r>
          </w:p>
        </w:tc>
      </w:tr>
    </w:tbl>
    <w:p>
      <w:pPr>
        <w:pStyle w:val="Heading2"/>
        <w:spacing w:after="150" w:before="300"/>
      </w:pPr>
      <w:r>
        <w:t xml:space="preserve">3.3 Clientes, proveedores y tarifas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360"/>
      </w:tblGrid>
      <w:tr>
        <w:trPr>
          <w:tblHeader/>
        </w:trPr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D8F86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/clientes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Lista clientes de la empresa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/clientes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 un cliente, incluyendo condición de pago (contado/crédito)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D8F86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/proveedores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Lista proveedores con su nivel de riesgo AQL vigente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D8F86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/tarifas?cliente_id=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Lista tarifas vigentes e históricas de un cliente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/tarifas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 una nueva tarifa; cierra la vigencia de la anterior automáticamente</w:t>
            </w:r>
          </w:p>
        </w:tc>
      </w:tr>
    </w:tbl>
    <w:p>
      <w:pPr>
        <w:pStyle w:val="Heading2"/>
        <w:spacing w:after="150" w:before="300"/>
      </w:pPr>
      <w:r>
        <w:t xml:space="preserve">3.4 Cuadrillas y vehículos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360"/>
      </w:tblGrid>
      <w:tr>
        <w:trPr>
          <w:tblHeader/>
        </w:trPr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D8F86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/cuadrillas?estado=disponible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Lista cuadrillas filtradas por estado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D8F86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/tipos-vehiculo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Lista tipos de vehículo con su tarifa base preestablecida</w:t>
            </w:r>
          </w:p>
        </w:tc>
      </w:tr>
    </w:tbl>
    <w:p>
      <w:pPr>
        <w:pStyle w:val="Heading2"/>
        <w:spacing w:after="150" w:before="300"/>
      </w:pPr>
      <w:r>
        <w:t xml:space="preserve">3.5 Operaciones (flujo del supervisor)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360"/>
      </w:tblGrid>
      <w:tr>
        <w:trPr>
          <w:tblHeader/>
        </w:trPr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D8F86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/operaciones?estado=en_curso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Lista operaciones activas del supervisor autenticado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/operaciones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 una operación (cliente, vehículo, muelle, servicio)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8A6D1F"/>
                <w:sz w:val="19"/>
                <w:szCs w:val="19"/>
              </w:rPr>
              <w:t xml:space="preserve">PATCH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/operaciones/{id}/asignar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Asigna cuadrilla, criterio de cobro y cantidad estimada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/operaciones/{id}/iniciar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Inicia el cronómetro; exige evidencias de pedido y factura ya cargadas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8A6D1F"/>
                <w:sz w:val="19"/>
                <w:szCs w:val="19"/>
              </w:rPr>
              <w:t xml:space="preserve">PATCH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/operaciones/{id}/cantidad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Actualiza la cantidad real registrada durante la ejecución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/operaciones/{id}/pausar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Pausa la operación por incidencia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/operaciones/{id}/reanudar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Reanuda una operación pausada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/operaciones/{id}/evidencias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Sube una fotografía asociada a la operación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/operaciones/{id}/incidencias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Registra una incidencia (daño, faltante, novedad)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/operaciones/{id}/cerrar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Cierra la operación: exige forma de pago y firma; dispara la liquidación automática</w:t>
            </w:r>
          </w:p>
        </w:tc>
      </w:tr>
    </w:tbl>
    <w:p>
      <w:pPr>
        <w:pStyle w:val="Heading2"/>
        <w:spacing w:after="150" w:before="300"/>
      </w:pPr>
      <w:r>
        <w:t xml:space="preserve">3.6 Liquidación, pagos y facturación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360"/>
      </w:tblGrid>
      <w:tr>
        <w:trPr>
          <w:tblHeader/>
        </w:trPr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D8F86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/liquidaciones/{operacion_id}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Consulta la liquidación calculada de una operación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D8F86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/facturacion/pendientes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Lista operaciones cerradas aún sin facturar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/facturas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Genera una factura consolidada a partir de operaciones seleccionadas</w:t>
            </w:r>
          </w:p>
        </w:tc>
      </w:tr>
    </w:tbl>
    <w:p>
      <w:pPr>
        <w:pStyle w:val="Heading2"/>
        <w:spacing w:after="150" w:before="300"/>
      </w:pPr>
      <w:r>
        <w:t xml:space="preserve">3.7 Military Standard (AQL)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360"/>
      </w:tblGrid>
      <w:tr>
        <w:trPr>
          <w:tblHeader/>
        </w:trPr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/auditorias/{operacion_id}/muestra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Calcula el tamaño de muestra según nivel de inspección vigente del proveedor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/auditorias/{operacion_id}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Registra defectos y genera el dictamen (aceptado/rechazado)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D8F86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/proveedores/{id}/historial-aql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Consulta el historial de auditorías y evolución del riesgo de un proveedor</w:t>
            </w:r>
          </w:p>
        </w:tc>
      </w:tr>
    </w:tbl>
    <w:p>
      <w:pPr>
        <w:pStyle w:val="Heading2"/>
        <w:spacing w:after="150" w:before="300"/>
      </w:pPr>
      <w:r>
        <w:t xml:space="preserve">3.8 Dashboard, portal del cliente e inteligencia operativa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360"/>
      </w:tblGrid>
      <w:tr>
        <w:trPr>
          <w:tblHeader/>
        </w:trPr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shd w:fill="0D8F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D8F86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/dashboard/kpis?desde=&amp;hasta=&amp;cliente_id=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KPIs consolidados filtrados por período y cliente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D8F86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/dashboard/facturacion-por-dia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Serie diaria de facturación para el gráfico del dashboard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D8F86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/portal-cliente/operaciones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Operaciones visibles para el usuario de portal autenticado (su propio cliente_id)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D8F86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/inteligencia/proveedores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Perfiles agregados de proveedores (volumen promedio, clasificación de tamaño)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D8F86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/inteligencia/afluencia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Estadística de afluencia por día de la semana y franja horaria</w:t>
            </w:r>
          </w:p>
        </w:tc>
      </w:tr>
    </w:tbl>
    <w:p>
      <w:pPr>
        <w:pStyle w:val="Heading1"/>
        <w:pageBreakBefore/>
        <w:spacing w:after="200" w:before="400"/>
      </w:pPr>
      <w:r>
        <w:t xml:space="preserve">4. Siguiente paso</w:t>
      </w:r>
    </w:p>
    <w:p>
      <w:pPr>
        <w:spacing w:after="160"/>
      </w:pPr>
      <w:r>
        <w:rPr>
          <w:sz w:val="22"/>
          <w:szCs w:val="22"/>
        </w:rPr>
        <w:t xml:space="preserve">Con este documento, el equipo de desarrollo tiene lo necesario para levantar el backend inicial: crear la base de datos con las políticas RLS de la Sección 1, migrar las tablas de la Sección 2, e implementar los endpoints del MVP (Fase 4 del Roadmap del PRD) priorizando el módulo de Operaciones, que es el corazón del sistema.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Recomendación de orden de implementación: (1) Empresas y usuarios con RLS activo desde el primer día — no se agrega después; (2) Clientes, tarifas y catálogos base; (3) Operaciones con su ciclo de vida completo; (4) Liquidación y pagos; (5) Evidencias e incidencias; (6) Dashboard básico; (7) AQL y Portal del cliente, ya en Fase 5.</w:t>
      </w:r>
    </w:p>
    <w:sectPr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4B8AC" w:sz="6" w:space="4"/>
      </w:pBdr>
      <w:spacing w:after="200" w:before="400"/>
    </w:pPr>
    <w:rPr>
      <w:rFonts w:ascii="Calibri" w:cs="Calibri" w:eastAsia="Calibri" w:hAnsi="Calibri"/>
      <w:b/>
      <w:bCs/>
      <w:color w:val="0D8F8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4B8A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2026-08-04T20:20:28.882Z</dcterms:created>
  <dcterms:modified xsi:type="dcterms:W3CDTF">2026-08-04T20:20:28.882Z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