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D8F86"/>
          <w:sz w:val="72"/>
          <w:szCs w:val="72"/>
        </w:rPr>
        <w:t xml:space="preserve">CargoFlow</w:t>
      </w:r>
    </w:p>
    <w:p>
      <w:pPr>
        <w:spacing w:after="100" w:before="200"/>
        <w:jc w:val="center"/>
      </w:pPr>
      <w:r>
        <w:rPr>
          <w:color w:val="595959"/>
          <w:sz w:val="26"/>
          <w:szCs w:val="26"/>
        </w:rPr>
        <w:t xml:space="preserve">Especificación de Experiencia de Usuario (UX Spec)</w:t>
      </w:r>
    </w:p>
    <w:p>
      <w:pPr>
        <w:spacing w:before="600"/>
        <w:jc w:val="center"/>
      </w:pPr>
      <w:r>
        <w:rPr>
          <w:b/>
          <w:bCs/>
          <w:color w:val="14B8AC"/>
          <w:sz w:val="24"/>
          <w:szCs w:val="24"/>
        </w:rPr>
        <w:t xml:space="preserve">Documento de soporte para diseño visual y arquitectura técnica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Versión 1.0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Agosto 2026</w:t>
      </w:r>
    </w:p>
    <w:p>
      <w:pPr>
        <w:spacing w:before="1600"/>
        <w:jc w:val="center"/>
      </w:pPr>
      <w:r>
        <w:rPr>
          <w:i/>
          <w:iCs/>
          <w:color w:val="595959"/>
          <w:sz w:val="20"/>
          <w:szCs w:val="20"/>
        </w:rPr>
        <w:t xml:space="preserve">Consolida el sistema de diseño, el mapa de navegación y la especificación de cada pantalla wireframeada, como punto de partida para el diseño visual definitivo (Figma) y la arquitectura técnica.</w:t>
      </w:r>
    </w:p>
    <w:p>
      <w:r>
        <w:br w:type="page"/>
      </w:r>
    </w:p>
    <w:p>
      <w:pPr>
        <w:pStyle w:val="Heading1"/>
        <w:spacing w:after="200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400"/>
      </w:pPr>
      <w:r>
        <w:t xml:space="preserve">1. Propósito del documento</w:t>
      </w:r>
    </w:p>
    <w:p>
      <w:pPr>
        <w:spacing w:after="160"/>
      </w:pPr>
      <w:r>
        <w:rPr>
          <w:sz w:val="22"/>
          <w:szCs w:val="22"/>
        </w:rPr>
        <w:t xml:space="preserve">Este documento consolida las decisiones de diseño UX/UI tomadas para CargoFlow durante la fase de wireframing: el sistema de diseño visual, el mapa de navegación entre módulos, y la especificación funcional de cada pantalla (elementos y reglas de negocio asociadas).</w:t>
      </w:r>
    </w:p>
    <w:p>
      <w:pPr>
        <w:spacing w:after="160"/>
      </w:pPr>
      <w:r>
        <w:rPr>
          <w:sz w:val="22"/>
          <w:szCs w:val="22"/>
        </w:rPr>
        <w:t xml:space="preserve">Sirve como punto de partida para dos frentes paralelos: el diseño visual definitivo en una herramienta como Figma, y la arquitectura técnica (modelo de datos en PostgreSQL, endpoints de FastAPI y estructura multiempresa), que es la siguiente fase del roadmap.</w:t>
      </w:r>
    </w:p>
    <w:p>
      <w:pPr>
        <w:spacing w:after="160"/>
      </w:pPr>
      <w:r>
        <w:rPr>
          <w:sz w:val="22"/>
          <w:szCs w:val="22"/>
        </w:rPr>
        <w:t xml:space="preserve">Este documento complementa al CargoFlow_PRD.docx — no lo reemplaza. Las reglas de negocio aquí descritas también están documentadas allí; este archivo las presenta ancladas a cada pantalla específica.</w:t>
      </w:r>
    </w:p>
    <w:p>
      <w:pPr>
        <w:pStyle w:val="Heading1"/>
        <w:pageBreakBefore/>
        <w:spacing w:after="200" w:before="400"/>
      </w:pPr>
      <w:r>
        <w:t xml:space="preserve">2. Sistema de diseño</w:t>
      </w:r>
    </w:p>
    <w:p>
      <w:pPr>
        <w:pStyle w:val="Heading2"/>
        <w:spacing w:after="150" w:before="300"/>
      </w:pPr>
      <w:r>
        <w:t xml:space="preserve">2.1 Paleta de color</w:t>
      </w:r>
    </w:p>
    <w:p>
      <w:pPr>
        <w:spacing w:after="160"/>
      </w:pPr>
      <w:r>
        <w:rPr>
          <w:sz w:val="22"/>
          <w:szCs w:val="22"/>
        </w:rPr>
        <w:t xml:space="preserve">Identidad visual definida para toda la plataforma, tanto en la app móvil del supervisor/auditor como en los módulos web.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6000"/>
      </w:tblGrid>
      <w:tr>
        <w:tc>
          <w:tcPr>
            <w:shd w:fill="0D8F8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fill="0D8F8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shd w:fill="14B8AC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  Teal (marca)   #14B8AC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Encabezados, botones primarios, acentos de selección</w:t>
            </w:r>
          </w:p>
        </w:tc>
      </w:tr>
      <w:tr>
        <w:tc>
          <w:tcPr>
            <w:shd w:fill="0D8F86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  Teal oscuro   #0D8F86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Datos clave: cronómetro, valores de liquidación, tarifas, KPI destacado</w:t>
            </w:r>
          </w:p>
        </w:tc>
      </w:tr>
      <w:tr>
        <w:tc>
          <w:tcPr>
            <w:shd w:fill="E8F6F4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  Teal muy claro   #E8F6F4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Fondo envolvente de tarjetas móviles</w:t>
            </w:r>
          </w:p>
        </w:tc>
      </w:tr>
      <w:tr>
        <w:tc>
          <w:tcPr>
            <w:shd w:fill="F5FAF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  Gris verdoso claro   #F5FAF9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Fondo de tarjetas y filas de tabla sobre blanco</w:t>
            </w:r>
          </w:p>
        </w:tc>
      </w:tr>
      <w:tr>
        <w:tc>
          <w:tcPr>
            <w:shd w:fill="FFFFFF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  Blanco   #FFFFFF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Fondo principal de contenido</w:t>
            </w:r>
          </w:p>
        </w:tc>
      </w:tr>
      <w:tr>
        <w:tc>
          <w:tcPr>
            <w:shd w:fill="B5462F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  Coral / alerta   #B5462F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Estados de riesgo, incidencias, pausas, rechazos</w:t>
            </w:r>
          </w:p>
        </w:tc>
      </w:tr>
    </w:tbl>
    <w:p>
      <w:pPr>
        <w:pStyle w:val="Heading2"/>
        <w:spacing w:after="150" w:before="300"/>
      </w:pPr>
      <w:r>
        <w:t xml:space="preserve">2.2 Componentes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Tarjetas KPI sólidas en teal con ícono, etiqueta y valor grande — usadas en dashboards y portal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Filtros tipo píldora (fecha, cliente, servicio) en la parte superior de las vistas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Formularios móviles con campos de 38–44px de alto, bordes suaves y fondo gris verdoso claro.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Zonas de captura fotográfica: borde discontinuo teal + ícono de cámara, con texto que indica qué se debe fotografiar.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Badges de estado con colores semánticos: verde/teal para positivo (vigente, confiable, en curso), ámbar para advertencia (trial, pausada), coral para riesgo o rechazo.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primario: relleno teal sólido, texto blanco, ancho completo en móvil.</w:t>
      </w:r>
    </w:p>
    <w:p>
      <w:pPr>
        <w:pStyle w:val="Heading1"/>
        <w:pageBreakBefore/>
        <w:spacing w:after="200" w:before="400"/>
      </w:pPr>
      <w:r>
        <w:t xml:space="preserve">3. Mapa de navegación</w:t>
      </w:r>
    </w:p>
    <w:p>
      <w:pPr>
        <w:pStyle w:val="Heading2"/>
        <w:spacing w:after="150" w:before="300"/>
      </w:pPr>
      <w:r>
        <w:t xml:space="preserve">3.1 Estructura general</w:t>
      </w:r>
    </w:p>
    <w:p>
      <w:pPr>
        <w:spacing w:after="160"/>
      </w:pPr>
      <w:r>
        <w:rPr>
          <w:sz w:val="22"/>
          <w:szCs w:val="22"/>
        </w:rPr>
        <w:t xml:space="preserve">Un login único enruta a cada rol a su módulo correspondiente. Todo lo registrado en campo por el supervisor y el auditor alimenta automáticamente los módulos de gestión (Facturación, Dashboard gerencial, Portal del cliente).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Supervisor (móvil, en campo)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gerencial (web)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Portal del cliente (web)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Auditor Military Standard — AQL (móvil o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Facturación (web, back office)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Administración (web) — empresas, usuarios, tarifas</w:t>
      </w:r>
    </w:p>
    <w:p>
      <w:pPr>
        <w:pStyle w:val="Heading2"/>
        <w:spacing w:after="150" w:before="300"/>
      </w:pPr>
      <w:r>
        <w:t xml:space="preserve">3.2 Flujo del supervisor (módulo núcleo del MVP)</w:t>
      </w:r>
    </w:p>
    <w:p>
      <w:pPr>
        <w:spacing w:after="160"/>
      </w:pPr>
      <w:r>
        <w:rPr>
          <w:sz w:val="22"/>
          <w:szCs w:val="22"/>
        </w:rPr>
        <w:t xml:space="preserve">Secuencia principal de pantallas, de inicio a fin de una operación: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Login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Lista de operaciones activas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Crear operación (vehículo, muelle, 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Asignar cuadrilla y tarifa (criterio de cobro + documentos obligatorios)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Operación en curso (cronómetro y cantidades) — con rama lateral de Pausa/incidencia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Capturar evidencias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Cerrar operación (forma de pago, firma, liquidación con cantidad real)</w:t>
      </w:r>
    </w:p>
    <w:p>
      <w:pPr>
        <w:pStyle w:val="Heading1"/>
        <w:pageBreakBefore/>
        <w:spacing w:after="200" w:before="400"/>
      </w:pPr>
      <w:r>
        <w:t xml:space="preserve">4. Especificación de pantallas por módulo</w:t>
      </w:r>
    </w:p>
    <w:p>
      <w:pPr>
        <w:pStyle w:val="Heading2"/>
        <w:spacing w:after="150" w:before="300"/>
      </w:pPr>
      <w:r>
        <w:t xml:space="preserve">4.1 App Supervisor (móvil)</w:t>
      </w:r>
    </w:p>
    <w:p>
      <w:pPr>
        <w:pStyle w:val="Heading3"/>
        <w:spacing w:after="100" w:before="220"/>
      </w:pPr>
      <w:r>
        <w:t xml:space="preserve">4.1.1 Crear operación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Móvil · Formulario  ·  Propósito: Registrar la llegada de un vehículo y abrir una nueva operación.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Selector de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Selector de tipo de servicio (descargue, cargue, picking)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Placa del vehículo y muelle asignado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Nombre del conductor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Captura obligatoria de foto de llegada del vehículo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operación no puede crearse sin cliente y tipo de servicio definidos.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foto de llegada queda como primera evidencia asociada a la operación.</w:t>
      </w:r>
    </w:p>
    <w:p>
      <w:pPr>
        <w:pStyle w:val="Heading3"/>
        <w:spacing w:after="100" w:before="220"/>
      </w:pPr>
      <w:r>
        <w:t xml:space="preserve">4.1.2 Asignar cuadrilla y tarifa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Móvil · Formulario condicional  ·  Propósito: Definir quién ejecuta la operación y bajo qué criterio se va a cobrar, antes de iniciar el cronómetro.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Selector de cuadrilla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Selector de criterio de cobro: por cajas, por unidades o por tipo de vehículo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Campo de cantidad estimada (solo visible si el criterio es cajas o unidades)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Selector de tipo de vehículo de selección única, con tarifas preestablecidas (solo visible si el criterio es por vehículo)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Visualización de la tarifa vigente aplicable (de solo lectura)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Captura obligatoria de foto del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Captura obligatoria de foto de la factura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cantidad estimada es solo una proyección de referencia para el supervisor; no determina el cobro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fotos de pedido y factura son obligatorias antes de habilitar el botón "Iniciar operación".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tarifas por tipo de vehículo están preestablecidas y no son editables desde esta pantalla.</w:t>
      </w:r>
    </w:p>
    <w:p>
      <w:pPr>
        <w:pStyle w:val="Heading3"/>
        <w:spacing w:after="100" w:before="220"/>
      </w:pPr>
      <w:r>
        <w:t xml:space="preserve">4.1.3 Operación en curso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Móvil · Ejecución  ·  Propósito: Medir el tiempo real de la operación y registrar las cantidades a medida que se ejecutan.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Cronómetro con tiempo transcurrido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Contador de cantidad registrada (+/-)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Indicador de productividad en tiempo real (unidades por hora)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Acceso rápido a captura de evidencia adicional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de pausa por incidencia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de cierre de operación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cronómetro se detiene durante una pausa y no cuenta ese tiempo como productividad.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cantidad registrada aquí es la que se usará como cantidad real al momento de liquidar, no la estimada.</w:t>
      </w:r>
    </w:p>
    <w:p>
      <w:pPr>
        <w:pStyle w:val="Heading3"/>
        <w:spacing w:after="100" w:before="220"/>
      </w:pPr>
      <w:r>
        <w:t xml:space="preserve">4.1.4 Capturar evidencias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Móvil · Galería  ·  Propósito: Adjuntar soporte fotográfico adicional y permitir el reporte de novedades sin interrumpir el flujo principal.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Confirmación visual de que pedido y factura ya fueron capturados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Grilla de fotos adicionales con opción de agregar más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Acceso a reportar incidencia (daño, faltante, novedad)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incidencias registradas aquí quedan asociadas a la operación y visibles para el gerente y el cliente.</w:t>
      </w:r>
    </w:p>
    <w:p>
      <w:pPr>
        <w:pStyle w:val="Heading3"/>
        <w:spacing w:after="100" w:before="220"/>
      </w:pPr>
      <w:r>
        <w:t xml:space="preserve">4.1.5 Cerrar operación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Móvil · Cierre y liquidación  ·  Propósito: Confirmar la cantidad final, registrar el pago y formalizar el cierre con firma del cliente.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Resumen: cliente, cuadrilla, tiempo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Cantidad estimada (atenuada, solo referencia) vs. cantidad real registrada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Monto de liquidación calculado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Selector de forma de pago: contado o crédito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contado: selector de medio de pago + foto del soporte de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crédito: aviso de verificación del cliente + foto del conductor + foto del vehículo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Firma de conformidad del cliente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liquidación siempre se calcula con la cantidad real registrada al cierre, nunca con la estimada del inicio.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opción de crédito solo aparece disponible si el cliente está previamente registrado como cliente a crédito en 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 operación cerrada a crédito pasa automáticamente a Facturación como pendiente por cobrar.</w:t>
      </w:r>
    </w:p>
    <w:p>
      <w:pPr>
        <w:pStyle w:val="Heading2"/>
        <w:spacing w:after="150" w:before="300"/>
      </w:pPr>
      <w:r>
        <w:t xml:space="preserve">4.2 Dashboard gerencial (web)</w:t>
      </w:r>
    </w:p>
    <w:p>
      <w:pPr>
        <w:pStyle w:val="Heading3"/>
        <w:spacing w:after="100" w:before="220"/>
      </w:pPr>
      <w:r>
        <w:t xml:space="preserve">4.2.1 Panel principal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Vista consolidada  ·  Propósito: Dar visibilidad en tiempo real de la operación al gerente, con posibilidad de acotar por período y cliente.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Filtros de fecha (desde/hasta) y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Tarjetas KPI: operaciones del período, cuadrillas activas, facturado, lotes rechazados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Gráfico de facturación por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operaciones en curso con estado (en curso / pausada)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Ranking o tendencia de productividad por cuadrilla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Todos los KPI y gráficos deben recalcularse según el rango de fechas y cliente seleccionados en el filtro.</w:t>
      </w:r>
    </w:p>
    <w:p>
      <w:pPr>
        <w:pStyle w:val="Heading3"/>
        <w:spacing w:after="100" w:before="220"/>
      </w:pPr>
      <w:r>
        <w:t xml:space="preserve">4.2.2 Panel de inteligencia operativa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Analítica  ·  Propósito: Traducir el histórico de operaciones en información útil para planeación de cuadrillas y turnos.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Gráfico de afluencia de vehículos por día de la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Distribución de operaciones por tipo de vehículo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proveedores por volumen promedio, con clasificación automática (grande / mediano / pequeño)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Recomendación de planeación (por ejemplo, refuerzo de cuadrillas en un día pico)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Este panel no captura datos nuevos; se recalcula periódicamente a partir de las operaciones ya cerradas (ver PRD, Sección 10).</w:t>
      </w:r>
    </w:p>
    <w:p>
      <w:pPr>
        <w:pStyle w:val="Heading2"/>
        <w:spacing w:after="150" w:before="300"/>
      </w:pPr>
      <w:r>
        <w:t xml:space="preserve">4.3 Portal del cliente (web)</w:t>
      </w:r>
    </w:p>
    <w:p>
      <w:pPr>
        <w:pStyle w:val="Heading3"/>
        <w:spacing w:after="100" w:before="220"/>
      </w:pPr>
      <w:r>
        <w:t xml:space="preserve">4.3.1 Panel del cliente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Autoservicio  ·  Propósito: Darle al cliente contratante visibilidad de sus propias operaciones sin depender de reportes manuales del operador.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KPIs propios: operaciones del mes, cajas movidas, lotes con novedad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Listado de operaciones con estado (finalizada / con novedad)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Detalle de una operación con evidencias (pedido, factura, fotos, firma)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de descarga de reporte en PDF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cliente solo ve información de sus propias operaciones, nunca de otros clientes del mismo operador (aislamiento por tenant y por cliente).</w:t>
      </w:r>
    </w:p>
    <w:p>
      <w:pPr>
        <w:pStyle w:val="Heading2"/>
        <w:spacing w:after="150" w:before="300"/>
      </w:pPr>
      <w:r>
        <w:t xml:space="preserve">4.4 Auditor Military Standard — AQL (móvil o web)</w:t>
      </w:r>
    </w:p>
    <w:p>
      <w:pPr>
        <w:pStyle w:val="Heading3"/>
        <w:spacing w:after="100" w:before="220"/>
      </w:pPr>
      <w:r>
        <w:t xml:space="preserve">4.4.1 Inspección AQL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Móvil · Formulario guiado  ·  Propósito: Ejecutar una inspección por muestreo sobre un lote, siguiendo el estándar AQL.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Datos del lote: tamaño y nivel de inspección aplicado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Tamaño de muestra calculado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de selección aleatoria de la muestra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Contadores de defectos críticos, mayores y menores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Captura de foto de evidencia de defecto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Dictamen preliminar (aceptado / rechazado), actualizado en vivo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nivel de inspección (Normal, Reforzado, Reducido) puede venir preasignado según el riesgo histórico del proveedor.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dictamen se calcula según los límites de aceptación/rechazo definidos por el estándar AQL para el tamaño de muestra correspondiente.</w:t>
      </w:r>
    </w:p>
    <w:p>
      <w:pPr>
        <w:pStyle w:val="Heading3"/>
        <w:spacing w:after="100" w:before="220"/>
      </w:pPr>
      <w:r>
        <w:t xml:space="preserve">4.4.2 Proveedores · Historial AQL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Tabla de riesgo  ·  Propósito: Mantener la calificación de riesgo de cada proveedor con base en su historial de auditorías.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proveedores con lotes inspeccionados, rechazos recientes y nivel de inspección vigente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Badge de estado: confiable / riesgoso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Detalle del motivo cuando un proveedor pasa a riesgoso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Cuando un proveedor supera el umbral configurable de rechazos en un período reciente, el sistema lo marca como riesgoso y aumenta automáticamente su nivel de inspección en la siguiente auditoría.</w:t>
      </w:r>
    </w:p>
    <w:p>
      <w:pPr>
        <w:pStyle w:val="Heading2"/>
        <w:spacing w:after="150" w:before="300"/>
      </w:pPr>
      <w:r>
        <w:t xml:space="preserve">4.5 Facturación (web)</w:t>
      </w:r>
    </w:p>
    <w:p>
      <w:pPr>
        <w:pStyle w:val="Heading3"/>
        <w:spacing w:after="100" w:before="220"/>
      </w:pPr>
      <w:r>
        <w:t xml:space="preserve">4.5.1 Liquidaciones pendientes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Tabla operativa  ·  Propósito: Consolidar liquidaciones automáticas ya calculadas y agruparlas en una factura formal.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Tarjetas KPI: pendiente por facturar, operaciones sin facturar, facturado en el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operaciones cerradas con criterio de cobro, cantidad real y valor liquidado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Selección múltiple de operaciones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de generar factura consolidada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valor de cada fila proviene directamente del módulo de Liquidación Automática; Facturación no recalcula montos, solo los consolida.</w:t>
      </w:r>
    </w:p>
    <w:p>
      <w:pPr>
        <w:pStyle w:val="Heading2"/>
        <w:spacing w:after="150" w:before="300"/>
      </w:pPr>
      <w:r>
        <w:t xml:space="preserve">4.6 Administración (web)</w:t>
      </w:r>
    </w:p>
    <w:p>
      <w:pPr>
        <w:pStyle w:val="Heading3"/>
        <w:spacing w:after="100" w:before="220"/>
      </w:pPr>
      <w:r>
        <w:t xml:space="preserve">4.6.1 Empresas y usuarios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Panel multiempresa  ·  Propósito: Administrar las empresas (tenants) de la plataforma y los usuarios dentro de cada una.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empresas con plan, número de usuarios, operaciones/mes y 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usuarios por empresa, con rol y tipo de acceso (web / móvil)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empresa opera en una instancia lógica aislada (multi-tenant); los datos de una empresa nunca son visibles para otra.</w:t>
      </w:r>
    </w:p>
    <w:p>
      <w:pPr>
        <w:pStyle w:val="Heading3"/>
        <w:spacing w:after="100" w:before="220"/>
      </w:pPr>
      <w:r>
        <w:t xml:space="preserve">4.6.2 Tarifas con vigencia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Tipo: Web · Configuración histórica  ·  Propósito: Configurar las tarifas de cada cliente sin perder el historial de precios anteriores.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tarifas vigentes por servicio y criterio de cobro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Tarifas históricas atenuadas, marcadas como no vigentes pero visibles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Detalle de tarifas por tipo de vehículo (valores preestablecidos por tipo)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Reglas de negocio asociadas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cambio de tarifa crea un nuevo registro con fecha de inicio de vigencia; no se sobrescribe ni se elimina la tarifa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operaciones ya cerradas conservan la tarifa que estaba vigente en el momento de su liquidación.</w:t>
      </w:r>
    </w:p>
    <w:p>
      <w:pPr>
        <w:pStyle w:val="Heading1"/>
        <w:pageBreakBefore/>
        <w:spacing w:after="200" w:before="400"/>
      </w:pPr>
      <w:r>
        <w:t xml:space="preserve">5. Reglas de negocio transversales</w:t>
      </w:r>
    </w:p>
    <w:p>
      <w:pPr>
        <w:spacing w:after="160"/>
      </w:pPr>
      <w:r>
        <w:rPr>
          <w:sz w:val="22"/>
          <w:szCs w:val="22"/>
        </w:rPr>
        <w:t xml:space="preserve">Reglas que afectan a más de un módulo y deben implementarse de forma consistente en toda la plataforma: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Estimado vs. real: cualquier cantidad ingresada antes o durante una operación es referencial; la liquidación siempre usa la cantidad real registrada al cierre.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Evidencia obligatoria: pedido y factura deben fotografiarse antes de iniciar una operación; no son opcionales.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Vigencia de tarifas: los cambios de precio nunca sobrescriben el histórico; cada operación liquida con la tarifa vigente en su propio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Pago condicionado por perfil de cliente: la ruta de pago a crédito solo está disponible para clientes previamente configurados como tal; todos los demás solo ven la ruta de contado.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Riesgo de proveedor dinámico: el nivel de inspección AQL de un proveedor puede subir automáticamente por su comportamiento histórico, sin intervención manual del auditor.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Aislamiento multiempresa: ningún dato (operaciones, usuarios, tarifas, clientes) es visible entre empresas distintas dentro de la plataforma.</w:t>
      </w:r>
    </w:p>
    <w:p>
      <w:pPr>
        <w:pStyle w:val="Heading1"/>
        <w:pageBreakBefore/>
        <w:spacing w:after="200" w:before="400"/>
      </w:pPr>
      <w:r>
        <w:t xml:space="preserve">6. Estado del diseño y siguiente fase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60"/>
      </w:tblGrid>
      <w:tr>
        <w:trPr>
          <w:tblHeader/>
        </w:trPr>
        <w:tc>
          <w:tcPr>
            <w:shd w:fill="0D8F8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D8F8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del wireframe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 Supervisor (móvil)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Completo — 5 pantallas principales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gerencial (web)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Completo — con filtros, gráficos e inteligencia operativa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Portal del cliente (web)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Auditor Military Standard (móvil/web)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Completo — inspección y registro de riesgo por proveedor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Facturación (web)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Administración (web)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Completo — empresas, usuarios y tarifas con vigencia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Con el PRD y esta especificación UX completos y consistentes entre sí, el proyecto está listo para avanzar a la Fase 3 del roadmap: Arquitectura Técnica — modelo de datos detallado en PostgreSQL, definición de endpoints en FastAPI, y estructura multiempresa a nivel de base de datos.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4B8AC" w:sz="6" w:space="4"/>
      </w:pBdr>
      <w:spacing w:after="200" w:before="400"/>
    </w:pPr>
    <w:rPr>
      <w:rFonts w:ascii="Calibri" w:cs="Calibri" w:eastAsia="Calibri" w:hAnsi="Calibri"/>
      <w:b/>
      <w:bCs/>
      <w:color w:val="0D8F8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4B8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2026-08-04T20:16:07.105Z</dcterms:created>
  <dcterms:modified xsi:type="dcterms:W3CDTF">2026-08-04T20:16:07.119Z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