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C8435" w14:textId="4068BFFF" w:rsidR="00B564BC" w:rsidRDefault="00B564BC">
      <w:r>
        <w:t>Kurt Dawiec</w:t>
      </w:r>
    </w:p>
    <w:p w14:paraId="0D9A7E58" w14:textId="42827BCC" w:rsidR="00B564BC" w:rsidRDefault="00B564BC">
      <w:r>
        <w:t>Data Analytics BC</w:t>
      </w:r>
    </w:p>
    <w:p w14:paraId="22D421D8" w14:textId="75849B59" w:rsidR="00B564BC" w:rsidRDefault="00B564BC">
      <w:r>
        <w:t>Columbia University</w:t>
      </w:r>
    </w:p>
    <w:p w14:paraId="7B48992B" w14:textId="2B28FFEE" w:rsidR="00B564BC" w:rsidRDefault="00B564BC"/>
    <w:p w14:paraId="5EEF2A4C" w14:textId="74040589" w:rsidR="00B564BC" w:rsidRPr="0052084D" w:rsidRDefault="00B564BC" w:rsidP="00B564BC">
      <w:pPr>
        <w:jc w:val="center"/>
        <w:rPr>
          <w:sz w:val="24"/>
          <w:szCs w:val="24"/>
          <w:u w:val="single"/>
        </w:rPr>
      </w:pPr>
      <w:r w:rsidRPr="0052084D">
        <w:rPr>
          <w:sz w:val="24"/>
          <w:szCs w:val="24"/>
          <w:u w:val="single"/>
        </w:rPr>
        <w:t>Analysis and Summary of Kickstarter Data</w:t>
      </w:r>
    </w:p>
    <w:p w14:paraId="59553EE5" w14:textId="1F4E3CC6" w:rsidR="00B564BC" w:rsidRDefault="00B564BC" w:rsidP="00B564BC">
      <w:r>
        <w:t xml:space="preserve">Kickstarter is an online crowdfunding platform used by many entrepreneurs and innovators to raise capital for their ideas &amp; inventions. This report references the data set in </w:t>
      </w:r>
      <w:proofErr w:type="gramStart"/>
      <w:r>
        <w:t>‘./</w:t>
      </w:r>
      <w:proofErr w:type="gramEnd"/>
      <w:r>
        <w:t xml:space="preserve">Kurt-Dawiec-01-workbook’ which contained metrics related to nearly 5,000 fundraising campaigns on Kickstarter. Below, I aim to answer 3 questions and supply a bonus analyses of </w:t>
      </w:r>
      <w:r w:rsidR="000E7FCD">
        <w:t xml:space="preserve">my own summary table. </w:t>
      </w:r>
      <w:r w:rsidR="00DB370A">
        <w:t>The most recent entry in this set was a campaign launched on 3/15/2017.</w:t>
      </w:r>
    </w:p>
    <w:p w14:paraId="46DBB471" w14:textId="41957E05" w:rsidR="006D1D5F" w:rsidRPr="0052084D" w:rsidRDefault="00B564BC" w:rsidP="001E0A5F">
      <w:pPr>
        <w:jc w:val="center"/>
        <w:rPr>
          <w:sz w:val="24"/>
          <w:szCs w:val="24"/>
          <w:u w:val="single"/>
        </w:rPr>
      </w:pPr>
      <w:r w:rsidRPr="0052084D">
        <w:rPr>
          <w:sz w:val="24"/>
          <w:szCs w:val="24"/>
          <w:u w:val="single"/>
        </w:rPr>
        <w:t>Given the provided data, what are the three conclusions we can draw about Kickstarter campaigns?</w:t>
      </w:r>
    </w:p>
    <w:p w14:paraId="085F9E85" w14:textId="336D97B1" w:rsidR="007A587C" w:rsidRPr="007A587C" w:rsidRDefault="001E0A5F" w:rsidP="007A587C">
      <w:pPr>
        <w:pStyle w:val="ListParagraph"/>
        <w:numPr>
          <w:ilvl w:val="0"/>
          <w:numId w:val="2"/>
        </w:numPr>
        <w:rPr>
          <w:b/>
          <w:bCs/>
        </w:rPr>
      </w:pPr>
      <w:r>
        <w:rPr>
          <w:b/>
          <w:bCs/>
        </w:rPr>
        <w:t>The arts</w:t>
      </w:r>
      <w:r w:rsidR="007A587C">
        <w:rPr>
          <w:b/>
          <w:bCs/>
        </w:rPr>
        <w:t xml:space="preserve"> </w:t>
      </w:r>
      <w:r>
        <w:rPr>
          <w:b/>
          <w:bCs/>
        </w:rPr>
        <w:t xml:space="preserve">dominate Kickstarter. </w:t>
      </w:r>
    </w:p>
    <w:p w14:paraId="53BC68BD" w14:textId="143560E5" w:rsidR="009E103F" w:rsidRDefault="00DB370A" w:rsidP="009E103F">
      <w:pPr>
        <w:jc w:val="center"/>
      </w:pPr>
      <w:r>
        <w:rPr>
          <w:noProof/>
        </w:rPr>
        <w:drawing>
          <wp:inline distT="0" distB="0" distL="0" distR="0" wp14:anchorId="3CCD5D6E" wp14:editId="55F2EAF8">
            <wp:extent cx="5943600" cy="3945890"/>
            <wp:effectExtent l="0" t="0" r="0" b="16510"/>
            <wp:docPr id="1" name="Chart 1">
              <a:extLst xmlns:a="http://schemas.openxmlformats.org/drawingml/2006/main">
                <a:ext uri="{FF2B5EF4-FFF2-40B4-BE49-F238E27FC236}">
                  <a16:creationId xmlns:a16="http://schemas.microsoft.com/office/drawing/2014/main" id="{97BDDFC1-D892-44D5-B384-B49D5CAAF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9E103F">
        <w:rPr>
          <w:b/>
          <w:bCs/>
        </w:rPr>
        <w:t>Figure 1:</w:t>
      </w:r>
      <w:r w:rsidR="009E103F">
        <w:t xml:space="preserve"> Stacked column chart </w:t>
      </w:r>
      <w:r w:rsidR="007A587C">
        <w:t>showing the total amount of campaigns per category.</w:t>
      </w:r>
      <w:r>
        <w:t xml:space="preserve"> Theater is followed by </w:t>
      </w:r>
      <w:r w:rsidR="0052084D">
        <w:t>Music but</w:t>
      </w:r>
      <w:r>
        <w:t xml:space="preserve"> leads by 700 campaigns.</w:t>
      </w:r>
    </w:p>
    <w:p w14:paraId="6C562A67" w14:textId="780E1912" w:rsidR="0052084D" w:rsidRDefault="0052084D" w:rsidP="009E4DFB">
      <w:r>
        <w:t>Most</w:t>
      </w:r>
      <w:r w:rsidR="007A587C">
        <w:t xml:space="preserve"> campaigns on Kickstarter between 2009 and 2017</w:t>
      </w:r>
      <w:r w:rsidR="001E0A5F">
        <w:t xml:space="preserve"> fell under the Theater category</w:t>
      </w:r>
      <w:r w:rsidR="007A587C">
        <w:t xml:space="preserve">. They were most popular within the United Kingdom, and the US. This compounds the effect since </w:t>
      </w:r>
      <w:r w:rsidR="009E103F">
        <w:t xml:space="preserve">88.54% of all </w:t>
      </w:r>
      <w:r w:rsidR="007A587C">
        <w:lastRenderedPageBreak/>
        <w:t xml:space="preserve">Kickstarter campaigns started in the </w:t>
      </w:r>
      <w:r>
        <w:t>UK, or</w:t>
      </w:r>
      <w:r w:rsidR="007A587C">
        <w:t xml:space="preserve"> US</w:t>
      </w:r>
      <w:r w:rsidR="009E103F">
        <w:t>.</w:t>
      </w:r>
      <w:r w:rsidR="001E0A5F">
        <w:t xml:space="preserve"> </w:t>
      </w:r>
      <w:r>
        <w:t>Coming in at 2</w:t>
      </w:r>
      <w:r w:rsidRPr="0052084D">
        <w:rPr>
          <w:vertAlign w:val="superscript"/>
        </w:rPr>
        <w:t>nd</w:t>
      </w:r>
      <w:r>
        <w:t xml:space="preserve"> and 4</w:t>
      </w:r>
      <w:r w:rsidRPr="0052084D">
        <w:rPr>
          <w:vertAlign w:val="superscript"/>
        </w:rPr>
        <w:t>th</w:t>
      </w:r>
      <w:r>
        <w:t xml:space="preserve"> are “Music” and “Film &amp; Video.” These 3 giants could be lumped into a general “Arts” category, for argumentative purposes. They are, after all, more like each other than to “Food”, or “Technology.” </w:t>
      </w:r>
    </w:p>
    <w:p w14:paraId="7913F4D5" w14:textId="1E6ADE61" w:rsidR="00B564BC" w:rsidRDefault="0052084D" w:rsidP="00B564BC">
      <w:r>
        <w:t xml:space="preserve"> The Arts make up the lions share of failed campaigns, but only because of owning the most traffic on Kickstarter. This is a clear indication of Kickstarter’s user base and where their interests lie.  </w:t>
      </w:r>
    </w:p>
    <w:p w14:paraId="3C6C451B" w14:textId="254C2986" w:rsidR="00DB370A" w:rsidRPr="00DB370A" w:rsidRDefault="001E0A5F" w:rsidP="00DB370A">
      <w:pPr>
        <w:pStyle w:val="ListParagraph"/>
        <w:numPr>
          <w:ilvl w:val="0"/>
          <w:numId w:val="2"/>
        </w:numPr>
        <w:rPr>
          <w:b/>
          <w:bCs/>
        </w:rPr>
      </w:pPr>
      <w:r>
        <w:rPr>
          <w:b/>
          <w:bCs/>
        </w:rPr>
        <w:t>Campaign outcomes can be reasonably predicted for</w:t>
      </w:r>
      <w:r w:rsidR="00D34993">
        <w:rPr>
          <w:b/>
          <w:bCs/>
        </w:rPr>
        <w:t xml:space="preserve"> </w:t>
      </w:r>
      <w:r>
        <w:rPr>
          <w:b/>
          <w:bCs/>
        </w:rPr>
        <w:t xml:space="preserve">over </w:t>
      </w:r>
      <w:r w:rsidR="00D34993">
        <w:rPr>
          <w:b/>
          <w:bCs/>
        </w:rPr>
        <w:t>70% of sub-categories</w:t>
      </w:r>
      <w:r>
        <w:rPr>
          <w:b/>
          <w:bCs/>
        </w:rPr>
        <w:t>. So far, these</w:t>
      </w:r>
      <w:r w:rsidR="00D34993">
        <w:rPr>
          <w:b/>
          <w:bCs/>
        </w:rPr>
        <w:t xml:space="preserve"> house campaigns that always flop, or flourish.</w:t>
      </w:r>
    </w:p>
    <w:p w14:paraId="2C30C3B1" w14:textId="4ECFCF9B" w:rsidR="00DB370A" w:rsidRDefault="00DB370A" w:rsidP="00DB370A">
      <w:r>
        <w:t xml:space="preserve">As of 3/17/2017, </w:t>
      </w:r>
      <w:r w:rsidR="004E0546">
        <w:t>20 out of 46</w:t>
      </w:r>
      <w:r>
        <w:t xml:space="preserve"> of all sub-categories contained </w:t>
      </w:r>
      <w:r w:rsidR="00D34993">
        <w:t>only failed or cancelled</w:t>
      </w:r>
      <w:r>
        <w:t xml:space="preserve"> campaigns. </w:t>
      </w:r>
      <w:r w:rsidR="00D34993">
        <w:t xml:space="preserve">Additionally, 13 out of 46 sub-categories had only successful campaigns. Therefore, ~70% of these categories seem to be </w:t>
      </w:r>
      <w:r w:rsidR="004545FC">
        <w:t>cursed or</w:t>
      </w:r>
      <w:r w:rsidR="00D34993">
        <w:t xml:space="preserve"> blessed. </w:t>
      </w:r>
    </w:p>
    <w:p w14:paraId="5D25F09C" w14:textId="247C8A6A" w:rsidR="00DB370A" w:rsidRDefault="00DB370A" w:rsidP="00DB370A">
      <w:r>
        <w:rPr>
          <w:noProof/>
        </w:rPr>
        <w:drawing>
          <wp:inline distT="0" distB="0" distL="0" distR="0" wp14:anchorId="546297A8" wp14:editId="58512171">
            <wp:extent cx="6286500" cy="3438525"/>
            <wp:effectExtent l="0" t="0" r="0" b="9525"/>
            <wp:docPr id="3" name="Chart 3">
              <a:extLst xmlns:a="http://schemas.openxmlformats.org/drawingml/2006/main">
                <a:ext uri="{FF2B5EF4-FFF2-40B4-BE49-F238E27FC236}">
                  <a16:creationId xmlns:a16="http://schemas.microsoft.com/office/drawing/2014/main" id="{9CEEA3C3-DF3E-4133-8798-E2D90348A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D6D401" w14:textId="21839798" w:rsidR="00DB370A" w:rsidRDefault="00DB370A" w:rsidP="00DB370A">
      <w:pPr>
        <w:jc w:val="center"/>
      </w:pPr>
      <w:r>
        <w:rPr>
          <w:b/>
          <w:bCs/>
        </w:rPr>
        <w:t>Figure 2:</w:t>
      </w:r>
      <w:r>
        <w:t xml:space="preserve"> </w:t>
      </w:r>
      <w:r w:rsidR="004E0546">
        <w:t>Stacked column chart of campaigns per sub-category. The non-uniform distribution of campaign</w:t>
      </w:r>
      <w:r w:rsidR="00D34993">
        <w:t xml:space="preserve"> success rates</w:t>
      </w:r>
      <w:r w:rsidR="004E0546">
        <w:t xml:space="preserve"> is made easier to see by omitting the “plays” category. </w:t>
      </w:r>
    </w:p>
    <w:p w14:paraId="0C80BCF0" w14:textId="70228A7F" w:rsidR="001E0A5F" w:rsidRDefault="009E4DFB" w:rsidP="00D34993">
      <w:pPr>
        <w:pStyle w:val="ListParagraph"/>
        <w:numPr>
          <w:ilvl w:val="0"/>
          <w:numId w:val="2"/>
        </w:numPr>
        <w:rPr>
          <w:b/>
          <w:bCs/>
        </w:rPr>
      </w:pPr>
      <w:r>
        <w:rPr>
          <w:b/>
          <w:bCs/>
        </w:rPr>
        <w:t>There is a seasonal behavior to campaign success rates.</w:t>
      </w:r>
    </w:p>
    <w:p w14:paraId="18FB0668" w14:textId="027F7B0E" w:rsidR="009E4DFB" w:rsidRDefault="009E4DFB" w:rsidP="009E4DFB">
      <w:pPr>
        <w:rPr>
          <w:b/>
          <w:bCs/>
        </w:rPr>
      </w:pPr>
      <w:r>
        <w:rPr>
          <w:noProof/>
        </w:rPr>
        <w:lastRenderedPageBreak/>
        <w:drawing>
          <wp:inline distT="0" distB="0" distL="0" distR="0" wp14:anchorId="3D6EB689" wp14:editId="0CAC7A7F">
            <wp:extent cx="5692140" cy="4156710"/>
            <wp:effectExtent l="0" t="0" r="3810" b="15240"/>
            <wp:docPr id="5" name="Chart 5">
              <a:extLst xmlns:a="http://schemas.openxmlformats.org/drawingml/2006/main">
                <a:ext uri="{FF2B5EF4-FFF2-40B4-BE49-F238E27FC236}">
                  <a16:creationId xmlns:a16="http://schemas.microsoft.com/office/drawing/2014/main" id="{80C7688E-298D-4D23-B0A4-951AAC5E96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A0733E" w14:textId="67595F41" w:rsidR="009E4DFB" w:rsidRDefault="009E4DFB" w:rsidP="009E4DFB">
      <w:pPr>
        <w:jc w:val="center"/>
      </w:pPr>
      <w:r>
        <w:rPr>
          <w:b/>
          <w:bCs/>
        </w:rPr>
        <w:t>Figure 3:</w:t>
      </w:r>
      <w:r>
        <w:t xml:space="preserve"> Campaign launch date and outcome from 2009-2017. Failed campaigns only overtake successful campaigns when they are launched in December.</w:t>
      </w:r>
    </w:p>
    <w:p w14:paraId="505B686D" w14:textId="2AB3828E" w:rsidR="00D34993" w:rsidRPr="009E4DFB" w:rsidRDefault="009E4DFB" w:rsidP="001E0A5F">
      <w:r>
        <w:t xml:space="preserve">December is the worst month to launch a campaign. Not only is it the month with fewest campaigns launched in total, but it is also the only month where campaigns are more likely to fail than succeed. On the other end of the spectrum, campaigns launched in May see the highest number of successful outcomes. </w:t>
      </w:r>
    </w:p>
    <w:p w14:paraId="5FB7340B" w14:textId="31ECDF69" w:rsidR="00B564BC" w:rsidRPr="00797CA7" w:rsidRDefault="00B564BC" w:rsidP="00797CA7">
      <w:pPr>
        <w:jc w:val="center"/>
        <w:rPr>
          <w:u w:val="single"/>
        </w:rPr>
      </w:pPr>
      <w:r w:rsidRPr="00797CA7">
        <w:rPr>
          <w:u w:val="single"/>
        </w:rPr>
        <w:t>What are some limitations of this dataset?</w:t>
      </w:r>
    </w:p>
    <w:p w14:paraId="0F15A728" w14:textId="755562BC" w:rsidR="009E4DFB" w:rsidRDefault="009E4DFB" w:rsidP="00B564BC">
      <w:r>
        <w:t xml:space="preserve">Most of these assumptions are, unfortunately, weighed heavily by a lack of a large comparative sample size. </w:t>
      </w:r>
      <w:proofErr w:type="gramStart"/>
      <w:r>
        <w:t>It’s</w:t>
      </w:r>
      <w:proofErr w:type="gramEnd"/>
      <w:r>
        <w:t xml:space="preserve"> difficult to draw patterns and conclusions about relationships between campaign categories and other metrics due to theaters dominance. Theater appears to be the bread &amp; butter of </w:t>
      </w:r>
      <w:r w:rsidR="00611061">
        <w:t>Kickstarter</w:t>
      </w:r>
      <w:r>
        <w:t xml:space="preserve">, so many of the failed campaigns </w:t>
      </w:r>
      <w:r w:rsidR="00611061">
        <w:t>in other</w:t>
      </w:r>
      <w:r>
        <w:t xml:space="preserve"> categories </w:t>
      </w:r>
      <w:proofErr w:type="gramStart"/>
      <w:r>
        <w:t>don’t</w:t>
      </w:r>
      <w:proofErr w:type="gramEnd"/>
      <w:r>
        <w:t xml:space="preserve"> see enough repetition on the site to be able to draw substantial conclusions. </w:t>
      </w:r>
    </w:p>
    <w:p w14:paraId="3A0FE299" w14:textId="3E682EEF" w:rsidR="009E4DFB" w:rsidRPr="009E4DFB" w:rsidRDefault="009E4DFB" w:rsidP="00B564BC">
      <w:r>
        <w:t>The time range of this data would also benefit from being updated. Kickstar</w:t>
      </w:r>
      <w:r w:rsidR="00611061">
        <w:t xml:space="preserve">ter has likely seen continued growth since 2017. This data set would be much more powerful with latest numbers. </w:t>
      </w:r>
      <w:r>
        <w:t xml:space="preserve">Additionally, most of the data before 2014 is too few and far between to make use of. </w:t>
      </w:r>
    </w:p>
    <w:p w14:paraId="50B3BD52" w14:textId="04F13448" w:rsidR="00B564BC" w:rsidRPr="00797CA7" w:rsidRDefault="00B564BC" w:rsidP="00797CA7">
      <w:pPr>
        <w:jc w:val="center"/>
        <w:rPr>
          <w:u w:val="single"/>
        </w:rPr>
      </w:pPr>
      <w:r w:rsidRPr="00797CA7">
        <w:rPr>
          <w:u w:val="single"/>
        </w:rPr>
        <w:t>What are some other possible tables/graphs we could create?</w:t>
      </w:r>
    </w:p>
    <w:p w14:paraId="59AE1487" w14:textId="568E3AA9" w:rsidR="00611061" w:rsidRDefault="00611061" w:rsidP="00B564BC">
      <w:r>
        <w:t xml:space="preserve">Kickstarter may benefit from tailoring content for their users based on their country of origin. A helpful graph would be the success rate of campaigns based on category for each specific country. </w:t>
      </w:r>
    </w:p>
    <w:p w14:paraId="0E9700FC" w14:textId="2BEBAA1E" w:rsidR="00797CA7" w:rsidRDefault="00611061" w:rsidP="00B564BC">
      <w:r>
        <w:lastRenderedPageBreak/>
        <w:t xml:space="preserve">Additionally, it could be useful to see how quickly campaigns reach their goal. This obviously </w:t>
      </w:r>
      <w:r w:rsidR="00797CA7">
        <w:t xml:space="preserve">would require a new </w:t>
      </w:r>
      <w:r w:rsidR="00C00D81">
        <w:t>column</w:t>
      </w:r>
      <w:r w:rsidR="00797CA7">
        <w:t>, “</w:t>
      </w:r>
      <w:proofErr w:type="spellStart"/>
      <w:r w:rsidR="00797CA7">
        <w:t>date_goal_reached</w:t>
      </w:r>
      <w:proofErr w:type="spellEnd"/>
      <w:r w:rsidR="00797CA7">
        <w:t>”</w:t>
      </w:r>
      <w:r w:rsidR="00C00D81">
        <w:t>,</w:t>
      </w:r>
      <w:r w:rsidR="00797CA7">
        <w:t xml:space="preserve"> for example. This could indicate what sorts of campaigns gain momentum on the platform the fastest. </w:t>
      </w:r>
    </w:p>
    <w:p w14:paraId="0AEA072F" w14:textId="3CF02B58" w:rsidR="00C00D81" w:rsidRPr="00C00D81" w:rsidRDefault="00C00D81" w:rsidP="00C00D81">
      <w:pPr>
        <w:jc w:val="center"/>
        <w:rPr>
          <w:u w:val="single"/>
        </w:rPr>
      </w:pPr>
      <w:r w:rsidRPr="00C00D81">
        <w:rPr>
          <w:u w:val="single"/>
        </w:rPr>
        <w:t>Bonus</w:t>
      </w:r>
    </w:p>
    <w:p w14:paraId="044D46C0" w14:textId="77777777" w:rsidR="00C00D81" w:rsidRDefault="00C00D81" w:rsidP="00B564BC">
      <w:r>
        <w:t xml:space="preserve">In addition to the above, the following graph and data were generated. </w:t>
      </w:r>
    </w:p>
    <w:p w14:paraId="296D3B57" w14:textId="0E81556E" w:rsidR="00611061" w:rsidRDefault="00C00D81" w:rsidP="00B564BC">
      <w:r>
        <w:rPr>
          <w:noProof/>
        </w:rPr>
        <w:drawing>
          <wp:inline distT="0" distB="0" distL="0" distR="0" wp14:anchorId="557F531D" wp14:editId="33278761">
            <wp:extent cx="5943600" cy="4210050"/>
            <wp:effectExtent l="0" t="0" r="0" b="0"/>
            <wp:docPr id="6" name="Chart 6">
              <a:extLst xmlns:a="http://schemas.openxmlformats.org/drawingml/2006/main">
                <a:ext uri="{FF2B5EF4-FFF2-40B4-BE49-F238E27FC236}">
                  <a16:creationId xmlns:a16="http://schemas.microsoft.com/office/drawing/2014/main" id="{A82B4269-E704-4323-A8E0-409886E5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797CA7">
        <w:t xml:space="preserve"> </w:t>
      </w:r>
    </w:p>
    <w:p w14:paraId="16657DB2" w14:textId="6ABA1D6B" w:rsidR="00B564BC" w:rsidRDefault="00C00D81" w:rsidP="00C00D81">
      <w:pPr>
        <w:jc w:val="center"/>
      </w:pPr>
      <w:r>
        <w:rPr>
          <w:b/>
          <w:bCs/>
        </w:rPr>
        <w:t>Figure 4:</w:t>
      </w:r>
      <w:r>
        <w:t xml:space="preserve"> Outcome chances plotted against approximate campaign goal. Divergence indicated at the lowest and highest goal ranges. 3 points can be seen where the success rate and failure rate are the same. The cancellation rate seems to increase linearly with the goal amount. </w:t>
      </w:r>
    </w:p>
    <w:tbl>
      <w:tblPr>
        <w:tblW w:w="5387" w:type="dxa"/>
        <w:tblInd w:w="1995" w:type="dxa"/>
        <w:tblLook w:val="04A0" w:firstRow="1" w:lastRow="0" w:firstColumn="1" w:lastColumn="0" w:noHBand="0" w:noVBand="1"/>
      </w:tblPr>
      <w:tblGrid>
        <w:gridCol w:w="2320"/>
        <w:gridCol w:w="1680"/>
        <w:gridCol w:w="1387"/>
      </w:tblGrid>
      <w:tr w:rsidR="00C00D81" w:rsidRPr="00C00D81" w14:paraId="35E00239" w14:textId="77777777" w:rsidTr="00C00D81">
        <w:trPr>
          <w:trHeight w:val="288"/>
        </w:trPr>
        <w:tc>
          <w:tcPr>
            <w:tcW w:w="2320" w:type="dxa"/>
            <w:tcBorders>
              <w:top w:val="nil"/>
              <w:left w:val="nil"/>
              <w:bottom w:val="single" w:sz="4" w:space="0" w:color="8EA9DB"/>
              <w:right w:val="nil"/>
            </w:tcBorders>
            <w:shd w:val="clear" w:color="D9E1F2" w:fill="D9E1F2"/>
            <w:noWrap/>
            <w:vAlign w:val="bottom"/>
            <w:hideMark/>
          </w:tcPr>
          <w:p w14:paraId="226ED0CC" w14:textId="77777777" w:rsidR="00C00D81" w:rsidRPr="00C00D81" w:rsidRDefault="00C00D81" w:rsidP="00C00D81">
            <w:pPr>
              <w:spacing w:after="0" w:line="240" w:lineRule="auto"/>
              <w:rPr>
                <w:rFonts w:ascii="Calibri" w:eastAsia="Times New Roman" w:hAnsi="Calibri" w:cs="Calibri"/>
                <w:b/>
                <w:bCs/>
                <w:color w:val="000000"/>
              </w:rPr>
            </w:pPr>
            <w:r w:rsidRPr="00C00D81">
              <w:rPr>
                <w:rFonts w:ascii="Calibri" w:eastAsia="Times New Roman" w:hAnsi="Calibri" w:cs="Calibri"/>
                <w:b/>
                <w:bCs/>
                <w:color w:val="000000"/>
              </w:rPr>
              <w:t>Values</w:t>
            </w:r>
          </w:p>
        </w:tc>
        <w:tc>
          <w:tcPr>
            <w:tcW w:w="1680" w:type="dxa"/>
            <w:tcBorders>
              <w:top w:val="nil"/>
              <w:left w:val="nil"/>
              <w:bottom w:val="single" w:sz="4" w:space="0" w:color="8EA9DB"/>
              <w:right w:val="nil"/>
            </w:tcBorders>
            <w:shd w:val="clear" w:color="D9E1F2" w:fill="D9E1F2"/>
            <w:noWrap/>
            <w:vAlign w:val="bottom"/>
            <w:hideMark/>
          </w:tcPr>
          <w:p w14:paraId="104CEDDD" w14:textId="77777777" w:rsidR="00C00D81" w:rsidRPr="00C00D81" w:rsidRDefault="00C00D81" w:rsidP="00C00D81">
            <w:pPr>
              <w:spacing w:after="0" w:line="240" w:lineRule="auto"/>
              <w:rPr>
                <w:rFonts w:ascii="Calibri" w:eastAsia="Times New Roman" w:hAnsi="Calibri" w:cs="Calibri"/>
                <w:b/>
                <w:bCs/>
                <w:color w:val="000000"/>
              </w:rPr>
            </w:pPr>
            <w:r w:rsidRPr="00C00D81">
              <w:rPr>
                <w:rFonts w:ascii="Calibri" w:eastAsia="Times New Roman" w:hAnsi="Calibri" w:cs="Calibri"/>
                <w:b/>
                <w:bCs/>
                <w:color w:val="000000"/>
              </w:rPr>
              <w:t>successful</w:t>
            </w:r>
          </w:p>
        </w:tc>
        <w:tc>
          <w:tcPr>
            <w:tcW w:w="1387" w:type="dxa"/>
            <w:tcBorders>
              <w:top w:val="nil"/>
              <w:left w:val="nil"/>
              <w:bottom w:val="single" w:sz="4" w:space="0" w:color="8EA9DB"/>
              <w:right w:val="nil"/>
            </w:tcBorders>
            <w:shd w:val="clear" w:color="D9E1F2" w:fill="D9E1F2"/>
            <w:noWrap/>
            <w:vAlign w:val="bottom"/>
            <w:hideMark/>
          </w:tcPr>
          <w:p w14:paraId="724E0342" w14:textId="77777777" w:rsidR="00C00D81" w:rsidRPr="00C00D81" w:rsidRDefault="00C00D81" w:rsidP="00C00D81">
            <w:pPr>
              <w:spacing w:after="0" w:line="240" w:lineRule="auto"/>
              <w:rPr>
                <w:rFonts w:ascii="Calibri" w:eastAsia="Times New Roman" w:hAnsi="Calibri" w:cs="Calibri"/>
                <w:b/>
                <w:bCs/>
                <w:color w:val="000000"/>
              </w:rPr>
            </w:pPr>
            <w:r w:rsidRPr="00C00D81">
              <w:rPr>
                <w:rFonts w:ascii="Calibri" w:eastAsia="Times New Roman" w:hAnsi="Calibri" w:cs="Calibri"/>
                <w:b/>
                <w:bCs/>
                <w:color w:val="000000"/>
              </w:rPr>
              <w:t>failed</w:t>
            </w:r>
          </w:p>
        </w:tc>
      </w:tr>
      <w:tr w:rsidR="00C00D81" w:rsidRPr="00C00D81" w14:paraId="795B4623" w14:textId="77777777" w:rsidTr="00C00D81">
        <w:trPr>
          <w:trHeight w:val="288"/>
        </w:trPr>
        <w:tc>
          <w:tcPr>
            <w:tcW w:w="2320" w:type="dxa"/>
            <w:tcBorders>
              <w:top w:val="nil"/>
              <w:left w:val="nil"/>
              <w:bottom w:val="nil"/>
              <w:right w:val="nil"/>
            </w:tcBorders>
            <w:shd w:val="clear" w:color="auto" w:fill="auto"/>
            <w:noWrap/>
            <w:vAlign w:val="bottom"/>
            <w:hideMark/>
          </w:tcPr>
          <w:p w14:paraId="6DC2194C" w14:textId="77777777" w:rsidR="00C00D81" w:rsidRPr="00C00D81" w:rsidRDefault="00C00D81" w:rsidP="00C00D81">
            <w:pPr>
              <w:spacing w:after="0" w:line="240" w:lineRule="auto"/>
              <w:rPr>
                <w:rFonts w:ascii="Calibri" w:eastAsia="Times New Roman" w:hAnsi="Calibri" w:cs="Calibri"/>
                <w:color w:val="000000"/>
              </w:rPr>
            </w:pPr>
            <w:r w:rsidRPr="00C00D81">
              <w:rPr>
                <w:rFonts w:ascii="Calibri" w:eastAsia="Times New Roman" w:hAnsi="Calibri" w:cs="Calibri"/>
                <w:color w:val="000000"/>
              </w:rPr>
              <w:t># of campaigns</w:t>
            </w:r>
          </w:p>
        </w:tc>
        <w:tc>
          <w:tcPr>
            <w:tcW w:w="1680" w:type="dxa"/>
            <w:tcBorders>
              <w:top w:val="nil"/>
              <w:left w:val="nil"/>
              <w:bottom w:val="nil"/>
              <w:right w:val="nil"/>
            </w:tcBorders>
            <w:shd w:val="clear" w:color="auto" w:fill="auto"/>
            <w:noWrap/>
            <w:vAlign w:val="bottom"/>
            <w:hideMark/>
          </w:tcPr>
          <w:p w14:paraId="4A517B95"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2185</w:t>
            </w:r>
          </w:p>
        </w:tc>
        <w:tc>
          <w:tcPr>
            <w:tcW w:w="1387" w:type="dxa"/>
            <w:tcBorders>
              <w:top w:val="nil"/>
              <w:left w:val="nil"/>
              <w:bottom w:val="nil"/>
              <w:right w:val="nil"/>
            </w:tcBorders>
            <w:shd w:val="clear" w:color="auto" w:fill="auto"/>
            <w:noWrap/>
            <w:vAlign w:val="bottom"/>
            <w:hideMark/>
          </w:tcPr>
          <w:p w14:paraId="32FEF073"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1530</w:t>
            </w:r>
          </w:p>
        </w:tc>
      </w:tr>
      <w:tr w:rsidR="00C00D81" w:rsidRPr="00C00D81" w14:paraId="5C47042A" w14:textId="77777777" w:rsidTr="00C00D81">
        <w:trPr>
          <w:trHeight w:val="288"/>
        </w:trPr>
        <w:tc>
          <w:tcPr>
            <w:tcW w:w="2320" w:type="dxa"/>
            <w:tcBorders>
              <w:top w:val="nil"/>
              <w:left w:val="nil"/>
              <w:bottom w:val="nil"/>
              <w:right w:val="nil"/>
            </w:tcBorders>
            <w:shd w:val="clear" w:color="auto" w:fill="auto"/>
            <w:noWrap/>
            <w:vAlign w:val="bottom"/>
            <w:hideMark/>
          </w:tcPr>
          <w:p w14:paraId="3D9EAF2A" w14:textId="77777777" w:rsidR="00C00D81" w:rsidRPr="00C00D81" w:rsidRDefault="00C00D81" w:rsidP="00C00D81">
            <w:pPr>
              <w:spacing w:after="0" w:line="240" w:lineRule="auto"/>
              <w:rPr>
                <w:rFonts w:ascii="Calibri" w:eastAsia="Times New Roman" w:hAnsi="Calibri" w:cs="Calibri"/>
                <w:color w:val="000000"/>
              </w:rPr>
            </w:pPr>
            <w:r w:rsidRPr="00C00D81">
              <w:rPr>
                <w:rFonts w:ascii="Calibri" w:eastAsia="Times New Roman" w:hAnsi="Calibri" w:cs="Calibri"/>
                <w:color w:val="000000"/>
              </w:rPr>
              <w:t>Total Backers</w:t>
            </w:r>
          </w:p>
        </w:tc>
        <w:tc>
          <w:tcPr>
            <w:tcW w:w="1680" w:type="dxa"/>
            <w:tcBorders>
              <w:top w:val="nil"/>
              <w:left w:val="nil"/>
              <w:bottom w:val="nil"/>
              <w:right w:val="nil"/>
            </w:tcBorders>
            <w:shd w:val="clear" w:color="auto" w:fill="auto"/>
            <w:noWrap/>
            <w:vAlign w:val="bottom"/>
            <w:hideMark/>
          </w:tcPr>
          <w:p w14:paraId="0BB2C13E"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424819</w:t>
            </w:r>
          </w:p>
        </w:tc>
        <w:tc>
          <w:tcPr>
            <w:tcW w:w="1387" w:type="dxa"/>
            <w:tcBorders>
              <w:top w:val="nil"/>
              <w:left w:val="nil"/>
              <w:bottom w:val="nil"/>
              <w:right w:val="nil"/>
            </w:tcBorders>
            <w:shd w:val="clear" w:color="auto" w:fill="auto"/>
            <w:noWrap/>
            <w:vAlign w:val="bottom"/>
            <w:hideMark/>
          </w:tcPr>
          <w:p w14:paraId="63AC18F9"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27096</w:t>
            </w:r>
          </w:p>
        </w:tc>
      </w:tr>
      <w:tr w:rsidR="00C00D81" w:rsidRPr="00C00D81" w14:paraId="3EBBE588" w14:textId="77777777" w:rsidTr="00C00D81">
        <w:trPr>
          <w:trHeight w:val="288"/>
        </w:trPr>
        <w:tc>
          <w:tcPr>
            <w:tcW w:w="2320" w:type="dxa"/>
            <w:tcBorders>
              <w:top w:val="nil"/>
              <w:left w:val="nil"/>
              <w:bottom w:val="nil"/>
              <w:right w:val="nil"/>
            </w:tcBorders>
            <w:shd w:val="clear" w:color="auto" w:fill="auto"/>
            <w:noWrap/>
            <w:vAlign w:val="bottom"/>
            <w:hideMark/>
          </w:tcPr>
          <w:p w14:paraId="2B7794D4" w14:textId="77777777" w:rsidR="00C00D81" w:rsidRPr="00C00D81" w:rsidRDefault="00C00D81" w:rsidP="00C00D81">
            <w:pPr>
              <w:spacing w:after="0" w:line="240" w:lineRule="auto"/>
              <w:rPr>
                <w:rFonts w:ascii="Calibri" w:eastAsia="Times New Roman" w:hAnsi="Calibri" w:cs="Calibri"/>
                <w:color w:val="000000"/>
              </w:rPr>
            </w:pPr>
            <w:r w:rsidRPr="00C00D81">
              <w:rPr>
                <w:rFonts w:ascii="Calibri" w:eastAsia="Times New Roman" w:hAnsi="Calibri" w:cs="Calibri"/>
                <w:color w:val="000000"/>
              </w:rPr>
              <w:t>Mean backers</w:t>
            </w:r>
          </w:p>
        </w:tc>
        <w:tc>
          <w:tcPr>
            <w:tcW w:w="1680" w:type="dxa"/>
            <w:tcBorders>
              <w:top w:val="nil"/>
              <w:left w:val="nil"/>
              <w:bottom w:val="nil"/>
              <w:right w:val="nil"/>
            </w:tcBorders>
            <w:shd w:val="clear" w:color="auto" w:fill="auto"/>
            <w:noWrap/>
            <w:vAlign w:val="bottom"/>
            <w:hideMark/>
          </w:tcPr>
          <w:p w14:paraId="25954D21"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194.4251716</w:t>
            </w:r>
          </w:p>
        </w:tc>
        <w:tc>
          <w:tcPr>
            <w:tcW w:w="1387" w:type="dxa"/>
            <w:tcBorders>
              <w:top w:val="nil"/>
              <w:left w:val="nil"/>
              <w:bottom w:val="nil"/>
              <w:right w:val="nil"/>
            </w:tcBorders>
            <w:shd w:val="clear" w:color="auto" w:fill="auto"/>
            <w:noWrap/>
            <w:vAlign w:val="bottom"/>
            <w:hideMark/>
          </w:tcPr>
          <w:p w14:paraId="6BBCA2BC"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17.70980392</w:t>
            </w:r>
          </w:p>
        </w:tc>
      </w:tr>
      <w:tr w:rsidR="00C00D81" w:rsidRPr="00C00D81" w14:paraId="2D4D430B" w14:textId="77777777" w:rsidTr="00C00D81">
        <w:trPr>
          <w:trHeight w:val="288"/>
        </w:trPr>
        <w:tc>
          <w:tcPr>
            <w:tcW w:w="2320" w:type="dxa"/>
            <w:tcBorders>
              <w:top w:val="nil"/>
              <w:left w:val="nil"/>
              <w:bottom w:val="nil"/>
              <w:right w:val="nil"/>
            </w:tcBorders>
            <w:shd w:val="clear" w:color="auto" w:fill="auto"/>
            <w:noWrap/>
            <w:vAlign w:val="bottom"/>
            <w:hideMark/>
          </w:tcPr>
          <w:p w14:paraId="49616726" w14:textId="77777777" w:rsidR="00C00D81" w:rsidRPr="00C00D81" w:rsidRDefault="00C00D81" w:rsidP="00C00D81">
            <w:pPr>
              <w:spacing w:after="0" w:line="240" w:lineRule="auto"/>
              <w:rPr>
                <w:rFonts w:ascii="Calibri" w:eastAsia="Times New Roman" w:hAnsi="Calibri" w:cs="Calibri"/>
                <w:color w:val="000000"/>
              </w:rPr>
            </w:pPr>
            <w:r w:rsidRPr="00C00D81">
              <w:rPr>
                <w:rFonts w:ascii="Calibri" w:eastAsia="Times New Roman" w:hAnsi="Calibri" w:cs="Calibri"/>
                <w:color w:val="000000"/>
              </w:rPr>
              <w:t>Min backers</w:t>
            </w:r>
          </w:p>
        </w:tc>
        <w:tc>
          <w:tcPr>
            <w:tcW w:w="1680" w:type="dxa"/>
            <w:tcBorders>
              <w:top w:val="nil"/>
              <w:left w:val="nil"/>
              <w:bottom w:val="nil"/>
              <w:right w:val="nil"/>
            </w:tcBorders>
            <w:shd w:val="clear" w:color="auto" w:fill="auto"/>
            <w:noWrap/>
            <w:vAlign w:val="bottom"/>
            <w:hideMark/>
          </w:tcPr>
          <w:p w14:paraId="38BF075A"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1</w:t>
            </w:r>
          </w:p>
        </w:tc>
        <w:tc>
          <w:tcPr>
            <w:tcW w:w="1387" w:type="dxa"/>
            <w:tcBorders>
              <w:top w:val="nil"/>
              <w:left w:val="nil"/>
              <w:bottom w:val="nil"/>
              <w:right w:val="nil"/>
            </w:tcBorders>
            <w:shd w:val="clear" w:color="auto" w:fill="auto"/>
            <w:noWrap/>
            <w:vAlign w:val="bottom"/>
            <w:hideMark/>
          </w:tcPr>
          <w:p w14:paraId="1389ECC7"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0</w:t>
            </w:r>
          </w:p>
        </w:tc>
      </w:tr>
      <w:tr w:rsidR="00C00D81" w:rsidRPr="00C00D81" w14:paraId="35AB90CE" w14:textId="77777777" w:rsidTr="00C00D81">
        <w:trPr>
          <w:trHeight w:val="288"/>
        </w:trPr>
        <w:tc>
          <w:tcPr>
            <w:tcW w:w="2320" w:type="dxa"/>
            <w:tcBorders>
              <w:top w:val="nil"/>
              <w:left w:val="nil"/>
              <w:bottom w:val="nil"/>
              <w:right w:val="nil"/>
            </w:tcBorders>
            <w:shd w:val="clear" w:color="auto" w:fill="auto"/>
            <w:noWrap/>
            <w:vAlign w:val="bottom"/>
            <w:hideMark/>
          </w:tcPr>
          <w:p w14:paraId="0811D20B" w14:textId="77777777" w:rsidR="00C00D81" w:rsidRPr="00C00D81" w:rsidRDefault="00C00D81" w:rsidP="00C00D81">
            <w:pPr>
              <w:spacing w:after="0" w:line="240" w:lineRule="auto"/>
              <w:rPr>
                <w:rFonts w:ascii="Calibri" w:eastAsia="Times New Roman" w:hAnsi="Calibri" w:cs="Calibri"/>
                <w:color w:val="000000"/>
              </w:rPr>
            </w:pPr>
            <w:r w:rsidRPr="00C00D81">
              <w:rPr>
                <w:rFonts w:ascii="Calibri" w:eastAsia="Times New Roman" w:hAnsi="Calibri" w:cs="Calibri"/>
                <w:color w:val="000000"/>
              </w:rPr>
              <w:t>Max backers</w:t>
            </w:r>
          </w:p>
        </w:tc>
        <w:tc>
          <w:tcPr>
            <w:tcW w:w="1680" w:type="dxa"/>
            <w:tcBorders>
              <w:top w:val="nil"/>
              <w:left w:val="nil"/>
              <w:bottom w:val="nil"/>
              <w:right w:val="nil"/>
            </w:tcBorders>
            <w:shd w:val="clear" w:color="auto" w:fill="auto"/>
            <w:noWrap/>
            <w:vAlign w:val="bottom"/>
            <w:hideMark/>
          </w:tcPr>
          <w:p w14:paraId="2EB3A9B1"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26457</w:t>
            </w:r>
          </w:p>
        </w:tc>
        <w:tc>
          <w:tcPr>
            <w:tcW w:w="1387" w:type="dxa"/>
            <w:tcBorders>
              <w:top w:val="nil"/>
              <w:left w:val="nil"/>
              <w:bottom w:val="nil"/>
              <w:right w:val="nil"/>
            </w:tcBorders>
            <w:shd w:val="clear" w:color="auto" w:fill="auto"/>
            <w:noWrap/>
            <w:vAlign w:val="bottom"/>
            <w:hideMark/>
          </w:tcPr>
          <w:p w14:paraId="3D81BFE5"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1293</w:t>
            </w:r>
          </w:p>
        </w:tc>
      </w:tr>
      <w:tr w:rsidR="00C00D81" w:rsidRPr="00C00D81" w14:paraId="71C79BE1" w14:textId="77777777" w:rsidTr="00C00D81">
        <w:trPr>
          <w:trHeight w:val="288"/>
        </w:trPr>
        <w:tc>
          <w:tcPr>
            <w:tcW w:w="2320" w:type="dxa"/>
            <w:tcBorders>
              <w:top w:val="nil"/>
              <w:left w:val="nil"/>
              <w:bottom w:val="nil"/>
              <w:right w:val="nil"/>
            </w:tcBorders>
            <w:shd w:val="clear" w:color="auto" w:fill="auto"/>
            <w:noWrap/>
            <w:vAlign w:val="bottom"/>
            <w:hideMark/>
          </w:tcPr>
          <w:p w14:paraId="11DEF5CC" w14:textId="77777777" w:rsidR="00C00D81" w:rsidRPr="00C00D81" w:rsidRDefault="00C00D81" w:rsidP="00C00D81">
            <w:pPr>
              <w:spacing w:after="0" w:line="240" w:lineRule="auto"/>
              <w:rPr>
                <w:rFonts w:ascii="Calibri" w:eastAsia="Times New Roman" w:hAnsi="Calibri" w:cs="Calibri"/>
                <w:color w:val="000000"/>
              </w:rPr>
            </w:pPr>
            <w:r w:rsidRPr="00C00D81">
              <w:rPr>
                <w:rFonts w:ascii="Calibri" w:eastAsia="Times New Roman" w:hAnsi="Calibri" w:cs="Calibri"/>
                <w:color w:val="000000"/>
              </w:rPr>
              <w:t>Variance of backers</w:t>
            </w:r>
          </w:p>
        </w:tc>
        <w:tc>
          <w:tcPr>
            <w:tcW w:w="1680" w:type="dxa"/>
            <w:tcBorders>
              <w:top w:val="nil"/>
              <w:left w:val="nil"/>
              <w:bottom w:val="nil"/>
              <w:right w:val="nil"/>
            </w:tcBorders>
            <w:shd w:val="clear" w:color="auto" w:fill="auto"/>
            <w:noWrap/>
            <w:vAlign w:val="bottom"/>
            <w:hideMark/>
          </w:tcPr>
          <w:p w14:paraId="3188471C"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713167.3791</w:t>
            </w:r>
          </w:p>
        </w:tc>
        <w:tc>
          <w:tcPr>
            <w:tcW w:w="1387" w:type="dxa"/>
            <w:tcBorders>
              <w:top w:val="nil"/>
              <w:left w:val="nil"/>
              <w:bottom w:val="nil"/>
              <w:right w:val="nil"/>
            </w:tcBorders>
            <w:shd w:val="clear" w:color="auto" w:fill="auto"/>
            <w:noWrap/>
            <w:vAlign w:val="bottom"/>
            <w:hideMark/>
          </w:tcPr>
          <w:p w14:paraId="541CD942"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3775.689439</w:t>
            </w:r>
          </w:p>
        </w:tc>
      </w:tr>
      <w:tr w:rsidR="00C00D81" w:rsidRPr="00C00D81" w14:paraId="3B4177DE" w14:textId="77777777" w:rsidTr="00C00D81">
        <w:trPr>
          <w:trHeight w:val="288"/>
        </w:trPr>
        <w:tc>
          <w:tcPr>
            <w:tcW w:w="2320" w:type="dxa"/>
            <w:tcBorders>
              <w:top w:val="nil"/>
              <w:left w:val="nil"/>
              <w:bottom w:val="nil"/>
              <w:right w:val="nil"/>
            </w:tcBorders>
            <w:shd w:val="clear" w:color="auto" w:fill="auto"/>
            <w:noWrap/>
            <w:vAlign w:val="bottom"/>
            <w:hideMark/>
          </w:tcPr>
          <w:p w14:paraId="11B3FDF4" w14:textId="77777777" w:rsidR="00C00D81" w:rsidRPr="00C00D81" w:rsidRDefault="00C00D81" w:rsidP="00C00D81">
            <w:pPr>
              <w:spacing w:after="0" w:line="240" w:lineRule="auto"/>
              <w:rPr>
                <w:rFonts w:ascii="Calibri" w:eastAsia="Times New Roman" w:hAnsi="Calibri" w:cs="Calibri"/>
                <w:color w:val="000000"/>
              </w:rPr>
            </w:pPr>
            <w:proofErr w:type="spellStart"/>
            <w:r w:rsidRPr="00C00D81">
              <w:rPr>
                <w:rFonts w:ascii="Calibri" w:eastAsia="Times New Roman" w:hAnsi="Calibri" w:cs="Calibri"/>
                <w:color w:val="000000"/>
              </w:rPr>
              <w:t>StdDev</w:t>
            </w:r>
            <w:proofErr w:type="spellEnd"/>
            <w:r w:rsidRPr="00C00D81">
              <w:rPr>
                <w:rFonts w:ascii="Calibri" w:eastAsia="Times New Roman" w:hAnsi="Calibri" w:cs="Calibri"/>
                <w:color w:val="000000"/>
              </w:rPr>
              <w:t xml:space="preserve"> backers</w:t>
            </w:r>
          </w:p>
        </w:tc>
        <w:tc>
          <w:tcPr>
            <w:tcW w:w="1680" w:type="dxa"/>
            <w:tcBorders>
              <w:top w:val="nil"/>
              <w:left w:val="nil"/>
              <w:bottom w:val="nil"/>
              <w:right w:val="nil"/>
            </w:tcBorders>
            <w:shd w:val="clear" w:color="auto" w:fill="auto"/>
            <w:noWrap/>
            <w:vAlign w:val="bottom"/>
            <w:hideMark/>
          </w:tcPr>
          <w:p w14:paraId="41222CD1"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844.4923796</w:t>
            </w:r>
          </w:p>
        </w:tc>
        <w:tc>
          <w:tcPr>
            <w:tcW w:w="1387" w:type="dxa"/>
            <w:tcBorders>
              <w:top w:val="nil"/>
              <w:left w:val="nil"/>
              <w:bottom w:val="nil"/>
              <w:right w:val="nil"/>
            </w:tcBorders>
            <w:shd w:val="clear" w:color="auto" w:fill="auto"/>
            <w:noWrap/>
            <w:vAlign w:val="bottom"/>
            <w:hideMark/>
          </w:tcPr>
          <w:p w14:paraId="571E2A16"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61.44663896</w:t>
            </w:r>
          </w:p>
        </w:tc>
      </w:tr>
      <w:tr w:rsidR="00C00D81" w:rsidRPr="00C00D81" w14:paraId="3914CFB5" w14:textId="77777777" w:rsidTr="00C00D81">
        <w:trPr>
          <w:trHeight w:val="288"/>
        </w:trPr>
        <w:tc>
          <w:tcPr>
            <w:tcW w:w="2320" w:type="dxa"/>
            <w:tcBorders>
              <w:top w:val="nil"/>
              <w:left w:val="nil"/>
              <w:bottom w:val="nil"/>
              <w:right w:val="nil"/>
            </w:tcBorders>
            <w:shd w:val="clear" w:color="auto" w:fill="auto"/>
            <w:noWrap/>
            <w:vAlign w:val="bottom"/>
            <w:hideMark/>
          </w:tcPr>
          <w:p w14:paraId="59A04C60" w14:textId="77777777" w:rsidR="00C00D81" w:rsidRPr="00C00D81" w:rsidRDefault="00C00D81" w:rsidP="00C00D81">
            <w:pPr>
              <w:spacing w:after="0" w:line="240" w:lineRule="auto"/>
              <w:rPr>
                <w:rFonts w:ascii="Calibri" w:eastAsia="Times New Roman" w:hAnsi="Calibri" w:cs="Calibri"/>
                <w:color w:val="000000"/>
              </w:rPr>
            </w:pPr>
            <w:r w:rsidRPr="00C00D81">
              <w:rPr>
                <w:rFonts w:ascii="Calibri" w:eastAsia="Times New Roman" w:hAnsi="Calibri" w:cs="Calibri"/>
                <w:color w:val="000000"/>
              </w:rPr>
              <w:t>Median backers</w:t>
            </w:r>
          </w:p>
        </w:tc>
        <w:tc>
          <w:tcPr>
            <w:tcW w:w="1680" w:type="dxa"/>
            <w:tcBorders>
              <w:top w:val="nil"/>
              <w:left w:val="nil"/>
              <w:bottom w:val="nil"/>
              <w:right w:val="nil"/>
            </w:tcBorders>
            <w:shd w:val="clear" w:color="auto" w:fill="auto"/>
            <w:noWrap/>
            <w:vAlign w:val="bottom"/>
            <w:hideMark/>
          </w:tcPr>
          <w:p w14:paraId="759ED8B6"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62</w:t>
            </w:r>
          </w:p>
        </w:tc>
        <w:tc>
          <w:tcPr>
            <w:tcW w:w="1387" w:type="dxa"/>
            <w:tcBorders>
              <w:top w:val="nil"/>
              <w:left w:val="nil"/>
              <w:bottom w:val="nil"/>
              <w:right w:val="nil"/>
            </w:tcBorders>
            <w:shd w:val="clear" w:color="auto" w:fill="auto"/>
            <w:noWrap/>
            <w:vAlign w:val="bottom"/>
            <w:hideMark/>
          </w:tcPr>
          <w:p w14:paraId="69ECB626" w14:textId="77777777" w:rsidR="00C00D81" w:rsidRPr="00C00D81" w:rsidRDefault="00C00D81" w:rsidP="00C00D81">
            <w:pPr>
              <w:spacing w:after="0" w:line="240" w:lineRule="auto"/>
              <w:jc w:val="right"/>
              <w:rPr>
                <w:rFonts w:ascii="Calibri" w:eastAsia="Times New Roman" w:hAnsi="Calibri" w:cs="Calibri"/>
                <w:color w:val="000000"/>
              </w:rPr>
            </w:pPr>
            <w:r w:rsidRPr="00C00D81">
              <w:rPr>
                <w:rFonts w:ascii="Calibri" w:eastAsia="Times New Roman" w:hAnsi="Calibri" w:cs="Calibri"/>
                <w:color w:val="000000"/>
              </w:rPr>
              <w:t>4</w:t>
            </w:r>
          </w:p>
        </w:tc>
      </w:tr>
      <w:tr w:rsidR="00C00D81" w:rsidRPr="00C00D81" w14:paraId="2237FF40" w14:textId="77777777" w:rsidTr="00C00D81">
        <w:trPr>
          <w:trHeight w:val="288"/>
        </w:trPr>
        <w:tc>
          <w:tcPr>
            <w:tcW w:w="2320" w:type="dxa"/>
            <w:tcBorders>
              <w:top w:val="nil"/>
              <w:left w:val="nil"/>
              <w:bottom w:val="nil"/>
              <w:right w:val="nil"/>
            </w:tcBorders>
            <w:shd w:val="clear" w:color="auto" w:fill="auto"/>
            <w:noWrap/>
            <w:vAlign w:val="bottom"/>
          </w:tcPr>
          <w:p w14:paraId="30C270BA" w14:textId="5947F165" w:rsidR="00C00D81" w:rsidRPr="00C00D81" w:rsidRDefault="00C00D81" w:rsidP="00C00D81">
            <w:pPr>
              <w:spacing w:after="0" w:line="240" w:lineRule="auto"/>
              <w:rPr>
                <w:rFonts w:ascii="Calibri" w:eastAsia="Times New Roman" w:hAnsi="Calibri" w:cs="Calibri"/>
                <w:color w:val="000000"/>
              </w:rPr>
            </w:pPr>
          </w:p>
        </w:tc>
        <w:tc>
          <w:tcPr>
            <w:tcW w:w="1680" w:type="dxa"/>
            <w:tcBorders>
              <w:top w:val="nil"/>
              <w:left w:val="nil"/>
              <w:bottom w:val="nil"/>
              <w:right w:val="nil"/>
            </w:tcBorders>
            <w:shd w:val="clear" w:color="auto" w:fill="auto"/>
            <w:noWrap/>
            <w:vAlign w:val="bottom"/>
          </w:tcPr>
          <w:p w14:paraId="2E6B5D1F" w14:textId="77777777" w:rsidR="00C00D81" w:rsidRPr="00C00D81" w:rsidRDefault="00C00D81" w:rsidP="00C00D81">
            <w:pPr>
              <w:spacing w:after="0" w:line="240" w:lineRule="auto"/>
              <w:jc w:val="right"/>
              <w:rPr>
                <w:rFonts w:ascii="Calibri" w:eastAsia="Times New Roman" w:hAnsi="Calibri" w:cs="Calibri"/>
                <w:color w:val="000000"/>
              </w:rPr>
            </w:pPr>
          </w:p>
        </w:tc>
        <w:tc>
          <w:tcPr>
            <w:tcW w:w="1387" w:type="dxa"/>
            <w:tcBorders>
              <w:top w:val="nil"/>
              <w:left w:val="nil"/>
              <w:bottom w:val="nil"/>
              <w:right w:val="nil"/>
            </w:tcBorders>
            <w:shd w:val="clear" w:color="auto" w:fill="auto"/>
            <w:noWrap/>
            <w:vAlign w:val="bottom"/>
          </w:tcPr>
          <w:p w14:paraId="67E04806" w14:textId="77777777" w:rsidR="00C00D81" w:rsidRPr="00C00D81" w:rsidRDefault="00C00D81" w:rsidP="00C00D81">
            <w:pPr>
              <w:spacing w:after="0" w:line="240" w:lineRule="auto"/>
              <w:jc w:val="right"/>
              <w:rPr>
                <w:rFonts w:ascii="Calibri" w:eastAsia="Times New Roman" w:hAnsi="Calibri" w:cs="Calibri"/>
                <w:color w:val="000000"/>
              </w:rPr>
            </w:pPr>
          </w:p>
        </w:tc>
      </w:tr>
    </w:tbl>
    <w:p w14:paraId="01077DB2" w14:textId="3AFAF816" w:rsidR="00C00D81" w:rsidRDefault="00C00D81" w:rsidP="00C00D81">
      <w:pPr>
        <w:jc w:val="center"/>
      </w:pPr>
      <w:r>
        <w:rPr>
          <w:b/>
          <w:bCs/>
        </w:rPr>
        <w:t>Table 1:</w:t>
      </w:r>
      <w:r>
        <w:t xml:space="preserve"> Calculated values of backer counts for successful and failed campaigns. </w:t>
      </w:r>
    </w:p>
    <w:p w14:paraId="490C4A32" w14:textId="02F2E5CC" w:rsidR="00C00D81" w:rsidRDefault="00761303" w:rsidP="00C00D81">
      <w:r>
        <w:lastRenderedPageBreak/>
        <w:t xml:space="preserve">In this case, the median </w:t>
      </w:r>
      <w:proofErr w:type="gramStart"/>
      <w:r>
        <w:t>amount</w:t>
      </w:r>
      <w:proofErr w:type="gramEnd"/>
      <w:r>
        <w:t xml:space="preserve"> of backers for a campaign is less helpful than the mean. The </w:t>
      </w:r>
      <w:proofErr w:type="gramStart"/>
      <w:r>
        <w:t>amount</w:t>
      </w:r>
      <w:proofErr w:type="gramEnd"/>
      <w:r>
        <w:t xml:space="preserve"> of backers for failed campaigns is deflated by the amount of failed campaigns with zero backers. Additionally, there are many successful campaigns with very high backer counts that deflate the median. </w:t>
      </w:r>
    </w:p>
    <w:p w14:paraId="3B666FEB" w14:textId="6187038F" w:rsidR="00761303" w:rsidRPr="00C00D81" w:rsidRDefault="00761303" w:rsidP="00C00D81">
      <w:r>
        <w:t xml:space="preserve">This also contributes to the higher variance in backer counts for successful campaigns. Successful campaigns can have few backers who made massive contributions, or many backers who made small contributions. </w:t>
      </w:r>
      <w:proofErr w:type="gramStart"/>
      <w:r>
        <w:t>Both of these</w:t>
      </w:r>
      <w:proofErr w:type="gramEnd"/>
      <w:r>
        <w:t xml:space="preserve"> are equally as likely, since most successful campaigns have smaller goals. </w:t>
      </w:r>
    </w:p>
    <w:p w14:paraId="1A34669B" w14:textId="77777777" w:rsidR="00B564BC" w:rsidRDefault="00B564BC" w:rsidP="00B564BC"/>
    <w:p w14:paraId="6658B0D0" w14:textId="77777777" w:rsidR="00B564BC" w:rsidRDefault="00B564BC" w:rsidP="00B564BC">
      <w:pPr>
        <w:jc w:val="center"/>
      </w:pPr>
    </w:p>
    <w:sectPr w:rsidR="00B5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65FEE"/>
    <w:multiLevelType w:val="hybridMultilevel"/>
    <w:tmpl w:val="6FA8DD6E"/>
    <w:lvl w:ilvl="0" w:tplc="8B328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46317"/>
    <w:multiLevelType w:val="hybridMultilevel"/>
    <w:tmpl w:val="266EB624"/>
    <w:lvl w:ilvl="0" w:tplc="3A228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BC"/>
    <w:rsid w:val="000E7FCD"/>
    <w:rsid w:val="001E0A5F"/>
    <w:rsid w:val="001F715E"/>
    <w:rsid w:val="004545FC"/>
    <w:rsid w:val="004E0546"/>
    <w:rsid w:val="0052084D"/>
    <w:rsid w:val="00611061"/>
    <w:rsid w:val="006D1D5F"/>
    <w:rsid w:val="00761303"/>
    <w:rsid w:val="00797CA7"/>
    <w:rsid w:val="007A587C"/>
    <w:rsid w:val="009E103F"/>
    <w:rsid w:val="009E4DFB"/>
    <w:rsid w:val="00B564BC"/>
    <w:rsid w:val="00BF79AB"/>
    <w:rsid w:val="00C00D81"/>
    <w:rsid w:val="00C543A6"/>
    <w:rsid w:val="00D34993"/>
    <w:rsid w:val="00DB370A"/>
    <w:rsid w:val="00EE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D41D"/>
  <w15:chartTrackingRefBased/>
  <w15:docId w15:val="{43BE1C9D-3F62-4F6B-A139-F1D4C0E5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45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rtm\Desktop\cu-bc-hw\excel-1\Kurt-Dawiec-01-work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urtm\Desktop\cu-bc-hw\excel-1\Kurt-Dawiec-01-work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urtm\Desktop\cu-bc-hw\excel-1\Kurt-Dawiec-01-work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urtm\Desktop\cu-bc-hw\excel-1\Kurt-Dawiec-01-work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[Kurt-Dawiec-01-workbook.xlsx]Category Pivot!PivotTable1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Campaigns per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Pivot'!$B$3:$B$4</c:f>
              <c:strCache>
                <c:ptCount val="1"/>
                <c:pt idx="0">
                  <c:v>successful</c:v>
                </c:pt>
              </c:strCache>
            </c:strRef>
          </c:tx>
          <c:spPr>
            <a:solidFill>
              <a:schemeClr val="accent1"/>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5F7C-452C-847C-14C02EEFED31}"/>
            </c:ext>
          </c:extLst>
        </c:ser>
        <c:ser>
          <c:idx val="1"/>
          <c:order val="1"/>
          <c:tx>
            <c:strRef>
              <c:f>'Category Pivot'!$C$3:$C$4</c:f>
              <c:strCache>
                <c:ptCount val="1"/>
                <c:pt idx="0">
                  <c:v>failed</c:v>
                </c:pt>
              </c:strCache>
            </c:strRef>
          </c:tx>
          <c:spPr>
            <a:solidFill>
              <a:schemeClr val="accent2"/>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5F7C-452C-847C-14C02EEFED31}"/>
            </c:ext>
          </c:extLst>
        </c:ser>
        <c:ser>
          <c:idx val="2"/>
          <c:order val="2"/>
          <c:tx>
            <c:strRef>
              <c:f>'Category Pivot'!$D$3:$D$4</c:f>
              <c:strCache>
                <c:ptCount val="1"/>
                <c:pt idx="0">
                  <c:v>canceled</c:v>
                </c:pt>
              </c:strCache>
            </c:strRef>
          </c:tx>
          <c:spPr>
            <a:solidFill>
              <a:schemeClr val="accent3"/>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5F7C-452C-847C-14C02EEFED31}"/>
            </c:ext>
          </c:extLst>
        </c:ser>
        <c:ser>
          <c:idx val="3"/>
          <c:order val="3"/>
          <c:tx>
            <c:strRef>
              <c:f>'Category Pivot'!$E$3:$E$4</c:f>
              <c:strCache>
                <c:ptCount val="1"/>
                <c:pt idx="0">
                  <c:v>live</c:v>
                </c:pt>
              </c:strCache>
            </c:strRef>
          </c:tx>
          <c:spPr>
            <a:solidFill>
              <a:schemeClr val="accent4"/>
            </a:solidFill>
            <a:ln>
              <a:noFill/>
            </a:ln>
            <a:effectLst/>
          </c:spPr>
          <c:invertIfNegative val="0"/>
          <c:cat>
            <c:strRef>
              <c:f>'Category Pivot'!$A$5:$A$14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Pivot'!$E$5:$E$14</c:f>
              <c:numCache>
                <c:formatCode>General</c:formatCode>
                <c:ptCount val="9"/>
                <c:pt idx="1">
                  <c:v>6</c:v>
                </c:pt>
                <c:pt idx="4">
                  <c:v>20</c:v>
                </c:pt>
                <c:pt idx="8">
                  <c:v>24</c:v>
                </c:pt>
              </c:numCache>
            </c:numRef>
          </c:val>
          <c:extLst>
            <c:ext xmlns:c16="http://schemas.microsoft.com/office/drawing/2014/chart" uri="{C3380CC4-5D6E-409C-BE32-E72D297353CC}">
              <c16:uniqueId val="{00000003-5F7C-452C-847C-14C02EEFED31}"/>
            </c:ext>
          </c:extLst>
        </c:ser>
        <c:dLbls>
          <c:showLegendKey val="0"/>
          <c:showVal val="0"/>
          <c:showCatName val="0"/>
          <c:showSerName val="0"/>
          <c:showPercent val="0"/>
          <c:showBubbleSize val="0"/>
        </c:dLbls>
        <c:gapWidth val="150"/>
        <c:overlap val="100"/>
        <c:axId val="1594787839"/>
        <c:axId val="1584090111"/>
      </c:barChart>
      <c:catAx>
        <c:axId val="159478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090111"/>
        <c:crosses val="autoZero"/>
        <c:auto val="1"/>
        <c:lblAlgn val="ctr"/>
        <c:lblOffset val="100"/>
        <c:noMultiLvlLbl val="0"/>
      </c:catAx>
      <c:valAx>
        <c:axId val="1584090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47878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[Kurt-Dawiec-01-workbook.xlsx]Subcategory Pivot!PivotTable1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 Campaigns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047307722898274"/>
          <c:y val="0.13698984302862419"/>
          <c:w val="0.87971542193589425"/>
          <c:h val="0.54452970387011868"/>
        </c:manualLayout>
      </c:layout>
      <c:barChart>
        <c:barDir val="col"/>
        <c:grouping val="stacked"/>
        <c:varyColors val="0"/>
        <c:ser>
          <c:idx val="0"/>
          <c:order val="0"/>
          <c:tx>
            <c:strRef>
              <c:f>'Subcategory Pivot'!$B$4:$B$5</c:f>
              <c:strCache>
                <c:ptCount val="1"/>
                <c:pt idx="0">
                  <c:v>successful</c:v>
                </c:pt>
              </c:strCache>
            </c:strRef>
          </c:tx>
          <c:spPr>
            <a:solidFill>
              <a:schemeClr val="accent1"/>
            </a:solidFill>
            <a:ln>
              <a:noFill/>
            </a:ln>
            <a:effectLst/>
          </c:spPr>
          <c:invertIfNegative val="0"/>
          <c:cat>
            <c:strRef>
              <c:f>'Subcategory Pivot'!$A$6:$A$46</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pop</c:v>
                </c:pt>
                <c:pt idx="25">
                  <c:v>radio &amp; podcasts</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translations</c:v>
                </c:pt>
                <c:pt idx="36">
                  <c:v>video games</c:v>
                </c:pt>
                <c:pt idx="37">
                  <c:v>wearables</c:v>
                </c:pt>
                <c:pt idx="38">
                  <c:v>web</c:v>
                </c:pt>
                <c:pt idx="39">
                  <c:v>world music</c:v>
                </c:pt>
              </c:strCache>
            </c:strRef>
          </c:cat>
          <c:val>
            <c:numRef>
              <c:f>'Subcategory Pivot'!$B$6:$B$46</c:f>
              <c:numCache>
                <c:formatCode>General</c:formatCode>
                <c:ptCount val="40"/>
                <c:pt idx="4">
                  <c:v>40</c:v>
                </c:pt>
                <c:pt idx="5">
                  <c:v>180</c:v>
                </c:pt>
                <c:pt idx="7">
                  <c:v>40</c:v>
                </c:pt>
                <c:pt idx="12">
                  <c:v>140</c:v>
                </c:pt>
                <c:pt idx="13">
                  <c:v>140</c:v>
                </c:pt>
                <c:pt idx="15">
                  <c:v>9</c:v>
                </c:pt>
                <c:pt idx="16">
                  <c:v>20</c:v>
                </c:pt>
                <c:pt idx="18">
                  <c:v>60</c:v>
                </c:pt>
                <c:pt idx="20">
                  <c:v>60</c:v>
                </c:pt>
                <c:pt idx="22">
                  <c:v>103</c:v>
                </c:pt>
                <c:pt idx="24">
                  <c:v>40</c:v>
                </c:pt>
                <c:pt idx="25">
                  <c:v>20</c:v>
                </c:pt>
                <c:pt idx="27">
                  <c:v>260</c:v>
                </c:pt>
                <c:pt idx="29">
                  <c:v>60</c:v>
                </c:pt>
                <c:pt idx="30">
                  <c:v>34</c:v>
                </c:pt>
                <c:pt idx="31">
                  <c:v>40</c:v>
                </c:pt>
                <c:pt idx="32">
                  <c:v>85</c:v>
                </c:pt>
                <c:pt idx="33">
                  <c:v>80</c:v>
                </c:pt>
                <c:pt idx="34">
                  <c:v>60</c:v>
                </c:pt>
                <c:pt idx="37">
                  <c:v>20</c:v>
                </c:pt>
              </c:numCache>
            </c:numRef>
          </c:val>
          <c:extLst>
            <c:ext xmlns:c16="http://schemas.microsoft.com/office/drawing/2014/chart" uri="{C3380CC4-5D6E-409C-BE32-E72D297353CC}">
              <c16:uniqueId val="{00000000-E4C8-49DE-B680-53D79420283C}"/>
            </c:ext>
          </c:extLst>
        </c:ser>
        <c:ser>
          <c:idx val="1"/>
          <c:order val="1"/>
          <c:tx>
            <c:strRef>
              <c:f>'Subcategory Pivot'!$C$4:$C$5</c:f>
              <c:strCache>
                <c:ptCount val="1"/>
                <c:pt idx="0">
                  <c:v>failed</c:v>
                </c:pt>
              </c:strCache>
            </c:strRef>
          </c:tx>
          <c:spPr>
            <a:solidFill>
              <a:schemeClr val="accent2"/>
            </a:solidFill>
            <a:ln>
              <a:noFill/>
            </a:ln>
            <a:effectLst/>
          </c:spPr>
          <c:invertIfNegative val="0"/>
          <c:cat>
            <c:strRef>
              <c:f>'Subcategory Pivot'!$A$6:$A$46</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pop</c:v>
                </c:pt>
                <c:pt idx="25">
                  <c:v>radio &amp; podcasts</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translations</c:v>
                </c:pt>
                <c:pt idx="36">
                  <c:v>video games</c:v>
                </c:pt>
                <c:pt idx="37">
                  <c:v>wearables</c:v>
                </c:pt>
                <c:pt idx="38">
                  <c:v>web</c:v>
                </c:pt>
                <c:pt idx="39">
                  <c:v>world music</c:v>
                </c:pt>
              </c:strCache>
            </c:strRef>
          </c:cat>
          <c:val>
            <c:numRef>
              <c:f>'Subcategory Pivot'!$C$6:$C$46</c:f>
              <c:numCache>
                <c:formatCode>General</c:formatCode>
                <c:ptCount val="40"/>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6">
                  <c:v>20</c:v>
                </c:pt>
                <c:pt idx="31">
                  <c:v>2</c:v>
                </c:pt>
                <c:pt idx="32">
                  <c:v>80</c:v>
                </c:pt>
                <c:pt idx="35">
                  <c:v>47</c:v>
                </c:pt>
                <c:pt idx="36">
                  <c:v>100</c:v>
                </c:pt>
                <c:pt idx="37">
                  <c:v>120</c:v>
                </c:pt>
                <c:pt idx="38">
                  <c:v>60</c:v>
                </c:pt>
              </c:numCache>
            </c:numRef>
          </c:val>
          <c:extLst>
            <c:ext xmlns:c16="http://schemas.microsoft.com/office/drawing/2014/chart" uri="{C3380CC4-5D6E-409C-BE32-E72D297353CC}">
              <c16:uniqueId val="{00000001-E4C8-49DE-B680-53D79420283C}"/>
            </c:ext>
          </c:extLst>
        </c:ser>
        <c:ser>
          <c:idx val="2"/>
          <c:order val="2"/>
          <c:tx>
            <c:strRef>
              <c:f>'Subcategory Pivot'!$D$4:$D$5</c:f>
              <c:strCache>
                <c:ptCount val="1"/>
                <c:pt idx="0">
                  <c:v>canceled</c:v>
                </c:pt>
              </c:strCache>
            </c:strRef>
          </c:tx>
          <c:spPr>
            <a:solidFill>
              <a:schemeClr val="accent3"/>
            </a:solidFill>
            <a:ln>
              <a:noFill/>
            </a:ln>
            <a:effectLst/>
          </c:spPr>
          <c:invertIfNegative val="0"/>
          <c:cat>
            <c:strRef>
              <c:f>'Subcategory Pivot'!$A$6:$A$46</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pop</c:v>
                </c:pt>
                <c:pt idx="25">
                  <c:v>radio &amp; podcasts</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translations</c:v>
                </c:pt>
                <c:pt idx="36">
                  <c:v>video games</c:v>
                </c:pt>
                <c:pt idx="37">
                  <c:v>wearables</c:v>
                </c:pt>
                <c:pt idx="38">
                  <c:v>web</c:v>
                </c:pt>
                <c:pt idx="39">
                  <c:v>world music</c:v>
                </c:pt>
              </c:strCache>
            </c:strRef>
          </c:cat>
          <c:val>
            <c:numRef>
              <c:f>'Subcategory Pivot'!$D$6:$D$46</c:f>
              <c:numCache>
                <c:formatCode>General</c:formatCode>
                <c:ptCount val="40"/>
                <c:pt idx="1">
                  <c:v>20</c:v>
                </c:pt>
                <c:pt idx="2">
                  <c:v>24</c:v>
                </c:pt>
                <c:pt idx="10">
                  <c:v>20</c:v>
                </c:pt>
                <c:pt idx="18">
                  <c:v>20</c:v>
                </c:pt>
                <c:pt idx="28">
                  <c:v>40</c:v>
                </c:pt>
                <c:pt idx="31">
                  <c:v>18</c:v>
                </c:pt>
                <c:pt idx="32">
                  <c:v>17</c:v>
                </c:pt>
                <c:pt idx="35">
                  <c:v>10</c:v>
                </c:pt>
                <c:pt idx="37">
                  <c:v>60</c:v>
                </c:pt>
                <c:pt idx="38">
                  <c:v>100</c:v>
                </c:pt>
                <c:pt idx="39">
                  <c:v>20</c:v>
                </c:pt>
              </c:numCache>
            </c:numRef>
          </c:val>
          <c:extLst>
            <c:ext xmlns:c16="http://schemas.microsoft.com/office/drawing/2014/chart" uri="{C3380CC4-5D6E-409C-BE32-E72D297353CC}">
              <c16:uniqueId val="{00000002-E4C8-49DE-B680-53D79420283C}"/>
            </c:ext>
          </c:extLst>
        </c:ser>
        <c:ser>
          <c:idx val="3"/>
          <c:order val="3"/>
          <c:tx>
            <c:strRef>
              <c:f>'Subcategory Pivot'!$E$4:$E$5</c:f>
              <c:strCache>
                <c:ptCount val="1"/>
                <c:pt idx="0">
                  <c:v>live</c:v>
                </c:pt>
              </c:strCache>
            </c:strRef>
          </c:tx>
          <c:spPr>
            <a:solidFill>
              <a:schemeClr val="accent4"/>
            </a:solidFill>
            <a:ln>
              <a:noFill/>
            </a:ln>
            <a:effectLst/>
          </c:spPr>
          <c:invertIfNegative val="0"/>
          <c:cat>
            <c:strRef>
              <c:f>'Subcategory Pivot'!$A$6:$A$46</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pop</c:v>
                </c:pt>
                <c:pt idx="25">
                  <c:v>radio &amp; podcasts</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translations</c:v>
                </c:pt>
                <c:pt idx="36">
                  <c:v>video games</c:v>
                </c:pt>
                <c:pt idx="37">
                  <c:v>wearables</c:v>
                </c:pt>
                <c:pt idx="38">
                  <c:v>web</c:v>
                </c:pt>
                <c:pt idx="39">
                  <c:v>world music</c:v>
                </c:pt>
              </c:strCache>
            </c:strRef>
          </c:cat>
          <c:val>
            <c:numRef>
              <c:f>'Subcategory Pivot'!$E$6:$E$46</c:f>
              <c:numCache>
                <c:formatCode>General</c:formatCode>
                <c:ptCount val="40"/>
                <c:pt idx="8">
                  <c:v>20</c:v>
                </c:pt>
                <c:pt idx="30">
                  <c:v>6</c:v>
                </c:pt>
                <c:pt idx="32">
                  <c:v>5</c:v>
                </c:pt>
              </c:numCache>
            </c:numRef>
          </c:val>
          <c:extLst>
            <c:ext xmlns:c16="http://schemas.microsoft.com/office/drawing/2014/chart" uri="{C3380CC4-5D6E-409C-BE32-E72D297353CC}">
              <c16:uniqueId val="{00000003-E4C8-49DE-B680-53D79420283C}"/>
            </c:ext>
          </c:extLst>
        </c:ser>
        <c:dLbls>
          <c:showLegendKey val="0"/>
          <c:showVal val="0"/>
          <c:showCatName val="0"/>
          <c:showSerName val="0"/>
          <c:showPercent val="0"/>
          <c:showBubbleSize val="0"/>
        </c:dLbls>
        <c:gapWidth val="150"/>
        <c:overlap val="100"/>
        <c:axId val="1585235999"/>
        <c:axId val="1584089279"/>
      </c:barChart>
      <c:catAx>
        <c:axId val="1585235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089279"/>
        <c:crosses val="autoZero"/>
        <c:auto val="1"/>
        <c:lblAlgn val="ctr"/>
        <c:lblOffset val="100"/>
        <c:tickLblSkip val="1"/>
        <c:noMultiLvlLbl val="0"/>
      </c:catAx>
      <c:valAx>
        <c:axId val="1584089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235999"/>
        <c:crosses val="autoZero"/>
        <c:crossBetween val="between"/>
      </c:valAx>
      <c:spPr>
        <a:noFill/>
        <a:ln>
          <a:noFill/>
        </a:ln>
        <a:effectLst/>
      </c:spPr>
    </c:plotArea>
    <c:legend>
      <c:legendPos val="r"/>
      <c:layout>
        <c:manualLayout>
          <c:xMode val="edge"/>
          <c:yMode val="edge"/>
          <c:x val="0.13574405472043272"/>
          <c:y val="9.4809838520877418E-2"/>
          <c:w val="0.10668018770380976"/>
          <c:h val="0.24930922415861453"/>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rot="-5400000" vert="horz"/>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[Kurt-Dawiec-01-workbook.xlsx]Date Created Outcome!PivotTable3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Outcome</a:t>
            </a:r>
            <a:r>
              <a:rPr lang="en-US" baseline="0"/>
              <a:t> vs. Launch Date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squar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squar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squar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Outcome'!$B$4:$B$5</c:f>
              <c:strCache>
                <c:ptCount val="1"/>
                <c:pt idx="0">
                  <c:v>successful</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'Date Created 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Outcome'!$B$6:$B$18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8279-440B-A0B3-637F201B9B7F}"/>
            </c:ext>
          </c:extLst>
        </c:ser>
        <c:ser>
          <c:idx val="1"/>
          <c:order val="1"/>
          <c:tx>
            <c:strRef>
              <c:f>'Date Created Outcome'!$C$4:$C$5</c:f>
              <c:strCache>
                <c:ptCount val="1"/>
                <c:pt idx="0">
                  <c:v>failed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'Date Created 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Outcome'!$C$6:$C$18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8279-440B-A0B3-637F201B9B7F}"/>
            </c:ext>
          </c:extLst>
        </c:ser>
        <c:ser>
          <c:idx val="2"/>
          <c:order val="2"/>
          <c:tx>
            <c:strRef>
              <c:f>'Date Created Outcome'!$D$4:$D$5</c:f>
              <c:strCache>
                <c:ptCount val="1"/>
                <c:pt idx="0">
                  <c:v>canceled</c:v>
                </c:pt>
              </c:strCache>
            </c:strRef>
          </c:tx>
          <c:spPr>
            <a:ln w="28575" cap="rnd">
              <a:solidFill>
                <a:schemeClr val="accent3"/>
              </a:solidFill>
              <a:round/>
            </a:ln>
            <a:effectLst/>
          </c:spPr>
          <c:marker>
            <c:symbol val="square"/>
            <c:size val="5"/>
            <c:spPr>
              <a:solidFill>
                <a:schemeClr val="accent3"/>
              </a:solidFill>
              <a:ln w="9525">
                <a:solidFill>
                  <a:schemeClr val="accent3"/>
                </a:solidFill>
              </a:ln>
              <a:effectLst/>
            </c:spPr>
          </c:marker>
          <c:cat>
            <c:strRef>
              <c:f>'Date Created 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Outcome'!$D$6:$D$18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8279-440B-A0B3-637F201B9B7F}"/>
            </c:ext>
          </c:extLst>
        </c:ser>
        <c:dLbls>
          <c:showLegendKey val="0"/>
          <c:showVal val="0"/>
          <c:showCatName val="0"/>
          <c:showSerName val="0"/>
          <c:showPercent val="0"/>
          <c:showBubbleSize val="0"/>
        </c:dLbls>
        <c:marker val="1"/>
        <c:smooth val="0"/>
        <c:axId val="1656908527"/>
        <c:axId val="1581602895"/>
      </c:lineChart>
      <c:catAx>
        <c:axId val="1656908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 Launched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602895"/>
        <c:crosses val="autoZero"/>
        <c:auto val="1"/>
        <c:lblAlgn val="ctr"/>
        <c:lblOffset val="100"/>
        <c:noMultiLvlLbl val="0"/>
      </c:catAx>
      <c:valAx>
        <c:axId val="1581602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908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Chance of Failure, Success, or Cancellation vs. Approximate Fundraising Goal</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manualLayout>
          <c:layoutTarget val="inner"/>
          <c:xMode val="edge"/>
          <c:yMode val="edge"/>
          <c:x val="8.7994930120914375E-2"/>
          <c:y val="9.4173031002703605E-2"/>
          <c:w val="0.88045258765731205"/>
          <c:h val="0.69476210210565781"/>
        </c:manualLayout>
      </c:layout>
      <c:lineChart>
        <c:grouping val="standard"/>
        <c:varyColors val="0"/>
        <c:ser>
          <c:idx val="0"/>
          <c:order val="0"/>
          <c:tx>
            <c:v>Success</c:v>
          </c:tx>
          <c:spPr>
            <a:ln w="19050" cap="rnd" cmpd="sng" algn="ctr">
              <a:solidFill>
                <a:schemeClr val="accent1">
                  <a:shade val="95000"/>
                  <a:satMod val="105000"/>
                </a:schemeClr>
              </a:solidFill>
              <a:round/>
            </a:ln>
            <a:effectLst/>
          </c:spPr>
          <c:marker>
            <c:symbol val="circle"/>
            <c:size val="17"/>
            <c:spPr>
              <a:noFill/>
              <a:ln>
                <a:noFill/>
              </a:ln>
              <a:effectLst/>
            </c:spPr>
          </c:marker>
          <c:cat>
            <c:strRef>
              <c:f>Bonus!$F$18:$F$29</c:f>
              <c:strCache>
                <c:ptCount val="12"/>
                <c:pt idx="0">
                  <c:v>&lt; $1000</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 $50,000</c:v>
                </c:pt>
              </c:strCache>
            </c:strRef>
          </c:cat>
          <c:val>
            <c:numRef>
              <c:f>Bonus!$F$2:$F$13</c:f>
              <c:numCache>
                <c:formatCode>0.00</c:formatCode>
                <c:ptCount val="12"/>
                <c:pt idx="0">
                  <c:v>71.081677704194263</c:v>
                </c:pt>
                <c:pt idx="1">
                  <c:v>66.005665722379604</c:v>
                </c:pt>
                <c:pt idx="2">
                  <c:v>53.212290502793294</c:v>
                </c:pt>
                <c:pt idx="3">
                  <c:v>47.727272727272727</c:v>
                </c:pt>
                <c:pt idx="4">
                  <c:v>46.766169154228855</c:v>
                </c:pt>
                <c:pt idx="5">
                  <c:v>41.891891891891895</c:v>
                </c:pt>
                <c:pt idx="6">
                  <c:v>40.145985401459853</c:v>
                </c:pt>
                <c:pt idx="7">
                  <c:v>39.024390243902438</c:v>
                </c:pt>
                <c:pt idx="8">
                  <c:v>47.272727272727273</c:v>
                </c:pt>
                <c:pt idx="9">
                  <c:v>48.837209302325576</c:v>
                </c:pt>
                <c:pt idx="10">
                  <c:v>28.571428571428569</c:v>
                </c:pt>
                <c:pt idx="11">
                  <c:v>19.36936936936937</c:v>
                </c:pt>
              </c:numCache>
            </c:numRef>
          </c:val>
          <c:smooth val="0"/>
          <c:extLst>
            <c:ext xmlns:c16="http://schemas.microsoft.com/office/drawing/2014/chart" uri="{C3380CC4-5D6E-409C-BE32-E72D297353CC}">
              <c16:uniqueId val="{00000000-7832-46B8-995D-9EB59ABF388E}"/>
            </c:ext>
          </c:extLst>
        </c:ser>
        <c:ser>
          <c:idx val="1"/>
          <c:order val="1"/>
          <c:tx>
            <c:v>Failure</c:v>
          </c:tx>
          <c:spPr>
            <a:ln w="19050" cap="rnd" cmpd="sng" algn="ctr">
              <a:solidFill>
                <a:schemeClr val="accent2">
                  <a:shade val="95000"/>
                  <a:satMod val="105000"/>
                </a:schemeClr>
              </a:solidFill>
              <a:round/>
            </a:ln>
            <a:effectLst/>
          </c:spPr>
          <c:marker>
            <c:symbol val="circle"/>
            <c:size val="17"/>
            <c:spPr>
              <a:noFill/>
              <a:ln>
                <a:noFill/>
              </a:ln>
              <a:effectLst/>
            </c:spPr>
          </c:marker>
          <c:cat>
            <c:strRef>
              <c:f>Bonus!$F$18:$F$29</c:f>
              <c:strCache>
                <c:ptCount val="12"/>
                <c:pt idx="0">
                  <c:v>&lt; $1000</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 $50,000</c:v>
                </c:pt>
              </c:strCache>
            </c:strRef>
          </c:cat>
          <c:val>
            <c:numRef>
              <c:f>Bonus!$G$2:$G$13</c:f>
              <c:numCache>
                <c:formatCode>0.00</c:formatCode>
                <c:ptCount val="12"/>
                <c:pt idx="0">
                  <c:v>24.944812362030905</c:v>
                </c:pt>
                <c:pt idx="1">
                  <c:v>29.745042492917843</c:v>
                </c:pt>
                <c:pt idx="2">
                  <c:v>39.52513966480447</c:v>
                </c:pt>
                <c:pt idx="3">
                  <c:v>40.909090909090914</c:v>
                </c:pt>
                <c:pt idx="4">
                  <c:v>44.776119402985074</c:v>
                </c:pt>
                <c:pt idx="5">
                  <c:v>48.648648648648653</c:v>
                </c:pt>
                <c:pt idx="6">
                  <c:v>46.715328467153284</c:v>
                </c:pt>
                <c:pt idx="7">
                  <c:v>45.121951219512198</c:v>
                </c:pt>
                <c:pt idx="8">
                  <c:v>40</c:v>
                </c:pt>
                <c:pt idx="9">
                  <c:v>37.209302325581397</c:v>
                </c:pt>
                <c:pt idx="10">
                  <c:v>52.380952380952387</c:v>
                </c:pt>
                <c:pt idx="11">
                  <c:v>58.108108108108105</c:v>
                </c:pt>
              </c:numCache>
            </c:numRef>
          </c:val>
          <c:smooth val="0"/>
          <c:extLst>
            <c:ext xmlns:c16="http://schemas.microsoft.com/office/drawing/2014/chart" uri="{C3380CC4-5D6E-409C-BE32-E72D297353CC}">
              <c16:uniqueId val="{00000001-7832-46B8-995D-9EB59ABF388E}"/>
            </c:ext>
          </c:extLst>
        </c:ser>
        <c:ser>
          <c:idx val="2"/>
          <c:order val="2"/>
          <c:tx>
            <c:v>Cancelation</c:v>
          </c:tx>
          <c:spPr>
            <a:ln w="19050" cap="rnd" cmpd="sng" algn="ctr">
              <a:solidFill>
                <a:schemeClr val="accent3">
                  <a:shade val="95000"/>
                  <a:satMod val="105000"/>
                </a:schemeClr>
              </a:solidFill>
              <a:round/>
            </a:ln>
            <a:effectLst/>
          </c:spPr>
          <c:marker>
            <c:symbol val="circle"/>
            <c:size val="17"/>
            <c:spPr>
              <a:noFill/>
              <a:ln>
                <a:noFill/>
              </a:ln>
              <a:effectLst/>
            </c:spPr>
          </c:marker>
          <c:cat>
            <c:strRef>
              <c:f>Bonus!$F$18:$F$29</c:f>
              <c:strCache>
                <c:ptCount val="12"/>
                <c:pt idx="0">
                  <c:v>&lt; $1000</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 $50,000</c:v>
                </c:pt>
              </c:strCache>
            </c:strRef>
          </c:cat>
          <c:val>
            <c:numRef>
              <c:f>Bonus!$H$2:$H$13</c:f>
              <c:numCache>
                <c:formatCode>0.00</c:formatCode>
                <c:ptCount val="12"/>
                <c:pt idx="0">
                  <c:v>3.9735099337748347</c:v>
                </c:pt>
                <c:pt idx="1">
                  <c:v>4.2492917847025495</c:v>
                </c:pt>
                <c:pt idx="2">
                  <c:v>7.2625698324022352</c:v>
                </c:pt>
                <c:pt idx="3">
                  <c:v>11.363636363636363</c:v>
                </c:pt>
                <c:pt idx="4">
                  <c:v>8.4577114427860707</c:v>
                </c:pt>
                <c:pt idx="5">
                  <c:v>9.4594594594594597</c:v>
                </c:pt>
                <c:pt idx="6">
                  <c:v>13.138686131386862</c:v>
                </c:pt>
                <c:pt idx="7">
                  <c:v>15.853658536585366</c:v>
                </c:pt>
                <c:pt idx="8">
                  <c:v>12.727272727272727</c:v>
                </c:pt>
                <c:pt idx="9">
                  <c:v>13.953488372093023</c:v>
                </c:pt>
                <c:pt idx="10">
                  <c:v>19.047619047619047</c:v>
                </c:pt>
                <c:pt idx="11">
                  <c:v>22.522522522522522</c:v>
                </c:pt>
              </c:numCache>
            </c:numRef>
          </c:val>
          <c:smooth val="0"/>
          <c:extLst>
            <c:ext xmlns:c16="http://schemas.microsoft.com/office/drawing/2014/chart" uri="{C3380CC4-5D6E-409C-BE32-E72D297353CC}">
              <c16:uniqueId val="{00000002-7832-46B8-995D-9EB59ABF388E}"/>
            </c:ext>
          </c:extLst>
        </c:ser>
        <c:dLbls>
          <c:showLegendKey val="0"/>
          <c:showVal val="0"/>
          <c:showCatName val="0"/>
          <c:showSerName val="0"/>
          <c:showPercent val="0"/>
          <c:showBubbleSize val="0"/>
        </c:dLbls>
        <c:marker val="1"/>
        <c:smooth val="0"/>
        <c:axId val="1295632239"/>
        <c:axId val="1231156831"/>
      </c:lineChart>
      <c:catAx>
        <c:axId val="1295632239"/>
        <c:scaling>
          <c:orientation val="minMax"/>
        </c:scaling>
        <c:delete val="0"/>
        <c:axPos val="b"/>
        <c:majorGridlines>
          <c:spPr>
            <a:ln w="22225">
              <a:solidFill>
                <a:schemeClr val="dk1">
                  <a:lumMod val="15000"/>
                  <a:lumOff val="85000"/>
                </a:schemeClr>
              </a:solidFill>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2000"/>
                  <a:t>Kickstarter Goal Range (USD)</a:t>
                </a:r>
              </a:p>
            </c:rich>
          </c:tx>
          <c:layout>
            <c:manualLayout>
              <c:xMode val="edge"/>
              <c:yMode val="edge"/>
              <c:x val="0.2206358099468336"/>
              <c:y val="0.915125711096067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in"/>
        <c:minorTickMark val="none"/>
        <c:tickLblPos val="nextTo"/>
        <c:spPr>
          <a:noFill/>
          <a:ln w="12700" cap="flat" cmpd="sng" algn="ctr">
            <a:solidFill>
              <a:schemeClr val="tx1">
                <a:lumMod val="15000"/>
                <a:lumOff val="85000"/>
              </a:schemeClr>
            </a:solidFill>
            <a:round/>
          </a:ln>
          <a:effectLst/>
        </c:spPr>
        <c:txPr>
          <a:bodyPr rot="-1440000" spcFirstLastPara="1" vertOverflow="ellipsis" wrap="square" anchor="ctr" anchorCtr="1"/>
          <a:lstStyle/>
          <a:p>
            <a:pPr>
              <a:defRPr sz="1000" b="0" i="0" u="none" strike="noStrike" kern="1200" baseline="0">
                <a:ln>
                  <a:noFill/>
                </a:ln>
                <a:solidFill>
                  <a:schemeClr val="dk1">
                    <a:lumMod val="65000"/>
                    <a:lumOff val="35000"/>
                  </a:schemeClr>
                </a:solidFill>
                <a:latin typeface="+mn-lt"/>
                <a:ea typeface="+mn-ea"/>
                <a:cs typeface="+mn-cs"/>
              </a:defRPr>
            </a:pPr>
            <a:endParaRPr lang="en-US"/>
          </a:p>
        </c:txPr>
        <c:crossAx val="1231156831"/>
        <c:crosses val="autoZero"/>
        <c:auto val="1"/>
        <c:lblAlgn val="ctr"/>
        <c:lblOffset val="100"/>
        <c:noMultiLvlLbl val="0"/>
      </c:catAx>
      <c:valAx>
        <c:axId val="1231156831"/>
        <c:scaling>
          <c:orientation val="minMax"/>
        </c:scaling>
        <c:delete val="0"/>
        <c:axPos val="l"/>
        <c:minorGridlines>
          <c:spPr>
            <a:ln>
              <a:solidFill>
                <a:schemeClr val="dk1">
                  <a:lumMod val="5000"/>
                  <a:lumOff val="95000"/>
                </a:schemeClr>
              </a:solidFill>
            </a:ln>
            <a:effectLst/>
          </c:spPr>
        </c:min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sz="1200"/>
                  <a:t>Percent Chance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quot;%&quot;" sourceLinked="0"/>
        <c:majorTickMark val="in"/>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95632239"/>
        <c:crosses val="autoZero"/>
        <c:crossBetween val="midCat"/>
      </c:valAx>
      <c:spPr>
        <a:noFill/>
        <a:ln>
          <a:noFill/>
        </a:ln>
        <a:effectLst/>
      </c:spPr>
    </c:plotArea>
    <c:legend>
      <c:legendPos val="b"/>
      <c:layout>
        <c:manualLayout>
          <c:xMode val="edge"/>
          <c:yMode val="edge"/>
          <c:x val="0.32754650641860117"/>
          <c:y val="0.17668568792085063"/>
          <c:w val="0.52645366444579056"/>
          <c:h val="4.2293529098336398E-2"/>
        </c:manualLayout>
      </c:layout>
      <c:overlay val="0"/>
      <c:spPr>
        <a:solidFill>
          <a:schemeClr val="bg1"/>
        </a:solidFill>
        <a:ln>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rot="-60000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Dawiec</dc:creator>
  <cp:keywords/>
  <dc:description/>
  <cp:lastModifiedBy>Kurt Dawiec</cp:lastModifiedBy>
  <cp:revision>4</cp:revision>
  <cp:lastPrinted>2020-11-10T14:24:00Z</cp:lastPrinted>
  <dcterms:created xsi:type="dcterms:W3CDTF">2020-11-09T18:14:00Z</dcterms:created>
  <dcterms:modified xsi:type="dcterms:W3CDTF">2020-11-10T14:24:00Z</dcterms:modified>
</cp:coreProperties>
</file>