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Calibri" w:hAnsi="Calibri"/>
          <w:b/>
          <w:color w:val="1F4E78"/>
          <w:sz w:val="36"/>
        </w:rPr>
        <w:t>Status Update: V2 Sharing Allowlist Audit</w:t>
      </w:r>
    </w:p>
    <w:p>
      <w:pPr>
        <w:spacing w:before="120" w:after="240" w:line="276" w:lineRule="auto"/>
      </w:pPr>
      <w:r>
        <w:rPr>
          <w:sz w:val="22"/>
        </w:rPr>
        <w:t>The V2 sharing allowlist audit for the PROD UK server environment is complete. All other server environments are currently pending review.</w:t>
      </w:r>
    </w:p>
    <w:p>
      <w:pPr>
        <w:spacing w:before="240" w:after="120" w:line="276" w:lineRule="auto"/>
      </w:pPr>
      <w:r>
        <w:rPr>
          <w:b/>
          <w:color w:val="1F4E78"/>
          <w:sz w:val="28"/>
        </w:rPr>
        <w:t>Scope &amp; Progress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Completed: </w:t>
      </w:r>
      <w:r>
        <w:t>DXM PROD UK server. This involved auditing 45 client WordPress instances across Development, Staging, and Production environments, totaling 135 schemas.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Pending: </w:t>
      </w:r>
      <w:r>
        <w:t>DXM PROD EU, PROD US, DEV Ireland, and REL Ireland server environments.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Exclusions: </w:t>
      </w:r>
      <w:r>
        <w:t>UDM site gxafcfqjhh (RWC Rebuild) was omitted during this run. While registered in UDM, it does not currently have an active schema on PROD UK.</w:t>
      </w:r>
    </w:p>
    <w:p>
      <w:pPr>
        <w:spacing w:before="280" w:after="120" w:line="276" w:lineRule="auto"/>
      </w:pPr>
      <w:r>
        <w:rPr>
          <w:b/>
          <w:color w:val="1F4E78"/>
          <w:sz w:val="28"/>
        </w:rPr>
        <w:t>Methodology &amp; System Impact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Execution: </w:t>
      </w:r>
      <w:r>
        <w:t>Query 1 and Query 2 logic were run safely on all target schemas. Collected details were categorized according to the defined ticket matrix.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System Impact: </w:t>
      </w:r>
      <w:r>
        <w:t>Zero data impact. All operations were run as read-only (SELECT statements only).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State Updates: </w:t>
      </w:r>
      <w:r>
        <w:t>The MIGRATE_SHARING_POST_TYPES script was not executed (neither live nor as a dry run). No updates or structural changes were made to sharing_settings or active_sitewide_plugins.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Data Mapping: </w:t>
      </w:r>
      <w:r>
        <w:t>Client identification relied directly on the UDM WordpressSites table, mapping projectNumber values to their matching schema prefixes.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