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360" w:lineRule="auto"/>
        <w:ind w:left="3600"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w:t>
      </w:r>
    </w:p>
    <w:p w:rsidR="00000000" w:rsidDel="00000000" w:rsidP="00000000" w:rsidRDefault="00000000" w:rsidRPr="00000000" w14:paraId="00000002">
      <w:pPr>
        <w:spacing w:after="0" w:before="200" w:line="360" w:lineRule="auto"/>
        <w:ind w:left="2160"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RESULTS AND CONCLUSIONS</w:t>
      </w:r>
    </w:p>
    <w:p w:rsidR="00000000" w:rsidDel="00000000" w:rsidP="00000000" w:rsidRDefault="00000000" w:rsidRPr="00000000" w14:paraId="00000003">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00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sale price distribution revealed a right-skewed pattern, with the majority of properties priced between $0K–$300K. The total SUM of AVG(SalePrice) across all 12 price bins was $7,204,273, confirming that while the market is dominated by mid-range and affordable homes, high-value luxury properties exist as outliers that slightly inflate the overall mean. This distribution indicates the dataset primarily represents a middle-income housing market with a small but notable premium segment.</w:t>
      </w:r>
    </w:p>
    <w:p w:rsidR="00000000" w:rsidDel="00000000" w:rsidP="00000000" w:rsidRDefault="00000000" w:rsidRPr="00000000" w14:paraId="0000000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 analysis across 13 bedroom categories showed a clear positive correlation between bedroom count and average sale price up to approximately 8 bedrooms, with a total SUM of AVG(SalePrice) of $7,802,010. Beyond 8–10 bedrooms, pricing became irregular and inconsistent, likely due to non-standard listings such as multi-family units or commercial properties entering the dataset. The 6–8 bedroom range emerged as the sweet spot for premium residential pricing.</w:t>
      </w:r>
    </w:p>
    <w:p w:rsidR="00000000" w:rsidDel="00000000" w:rsidP="00000000" w:rsidRDefault="00000000" w:rsidRPr="00000000" w14:paraId="0000000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analysis produced an aggregated average of 17,478 sqft total area against an average sale price of $511,619, confirming a strong positive relationship between property size and valuation. The high average area figure suggests the TotalAreaSqft field combines multiple space measurements including flat area, basement, and lot size. Regardless, larger properties consistently commanded higher prices, establishing $511,619 as the central price benchmark for the entire dataset.</w:t>
      </w:r>
    </w:p>
    <w:p w:rsidR="00000000" w:rsidDel="00000000" w:rsidP="00000000" w:rsidRDefault="00000000" w:rsidRPr="00000000" w14:paraId="0000000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Sheet 4 and Sheet 7 consistently showed that 914 properties in the dataset had been renovated at some point. Renovated properties aligned with the higher average sale price of $511,619, indicating that renovation is a positive value driver. This finding is significant for real estate investors — properties that undergo renovation are more likely to achieve above-average sale prices, making renovation a worthwhile investment strategy in this market.</w:t>
      </w:r>
    </w:p>
    <w:p w:rsidR="00000000" w:rsidDel="00000000" w:rsidP="00000000" w:rsidRDefault="00000000" w:rsidRPr="00000000" w14:paraId="0000000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zip code group analysis revealed significant pricing disparities across geographic segments, with one zip code group showing a dramatically higher average sale price than others. The combined SUM of AVG(SalePrice) across groups was $891,495. This confirms that location is one of the strongest determinants of housing price, often overriding property-level features like size or condition in terms of overall valuation impact.</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condition properties dominate at ~70% of the dataset, establishing the market baseline. Excellent condition properties, though fewer in number, command premium prices. The near-absence of Okay.</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zip code group analysis consistently demonstrated that geographic location has the greatest single impact on sale price. Properties in high-demand zip code groups commanded prices far above the dataset average regardless of other features. This reinforces the universal real estate principle — location, location, location — and suggests that buyers and investors must prioritize neighborhood selection above all other factors when evaluating housing value.</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area and bedroom count analyses both confirmed that larger properties with more rooms command higher prices. The positive correlation held strongly up to 8 bedrooms and across increasing square footage. However, extremely large or unusual properties (30+ bedrooms) showed irregular pricing, indicating that standard valuation models work best within the typical residential property range. For practical purposes, 6–8 bedrooms and proportionally larger areas represent the highest-value residential segment.</w:t>
      </w:r>
    </w:p>
    <w:p w:rsidR="00000000" w:rsidDel="00000000" w:rsidP="00000000" w:rsidRDefault="00000000" w:rsidRPr="00000000" w14:paraId="0000001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914 renovated properties aligning with the higher average sale price of $511,619, the data clearly supports the conclusion that renovation is a sound investment for improving property valuation. Homeowners and real estate investors looking to maximize returns should consider targeted renovations before listing, as the market consistently rewards updated and improved properties with higher sale prices.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overwhelming dominance of Fair condition properties (14,028 out of the total dataset) suggests that this is the accepted market standard in the analyzed housing market. Properties in Good and Excellent condition represent premium tiers that attract higher valuations. The near-absence of Okay condition properties in sale transactions implies that buyers in this market tend to avoid poorly maintained homes, and sellers are generally motivated to improve condition before listing.</w:t>
      </w:r>
    </w:p>
    <w:p w:rsidR="00000000" w:rsidDel="00000000" w:rsidP="00000000" w:rsidRDefault="00000000" w:rsidRPr="00000000" w14:paraId="0000001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Tableau Public enabled the creation of 7 interactive worksheets, a unified dashboard with cross-filtering, and a narrative story presentation — all contributing to a comprehensive and accessible housing market analysis. The Action (Bedrooms) filter connecting all sheets allowed dynamic, user-driven exploration of the data, making the dashboard practical for real-world stakeholders such as buyers, sellers, agents, and analysts.</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demonstrated that housing sale prices are influenced by a combination of factors — location, size, bedroom count, renovation history, and property condition — with location and size being the most dominant. The Tableau visualizations brought these relationships to life in an interactive and intuitive format, making complex data accessible and actionable. The findings provide a strong foundation for further predictive modeling, investment strategy development, and market trend monitoring in the housing sector.</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8" w:w="11906" w:orient="portrait"/>
      <w:pgMar w:bottom="566.9291338582677" w:top="566.9291338582677" w:left="850.3937007874016" w:right="566.9291338582677" w:header="709" w:footer="709"/>
      <w:pgNumType w:start="2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Bdr>
        <w:top w:color="833c0b" w:space="1" w:sz="18" w:val="single"/>
        <w:left w:space="0" w:sz="0" w:val="nil"/>
        <w:bottom w:space="0" w:sz="0" w:val="nil"/>
        <w:right w:space="0" w:sz="0" w:val="nil"/>
        <w:between w:space="0" w:sz="0" w:val="nil"/>
      </w:pBdr>
      <w:tabs>
        <w:tab w:val="left" w:leader="none" w:pos="5050"/>
        <w:tab w:val="left" w:leader="none" w:pos="6389"/>
        <w:tab w:val="left" w:leader="none" w:pos="6744"/>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w:t>
    </w:r>
    <w:r w:rsidDel="00000000" w:rsidR="00000000" w:rsidRPr="00000000">
      <w:rPr>
        <w:rFonts w:ascii="Calibri" w:cs="Calibri" w:eastAsia="Calibri" w:hAnsi="Calibri"/>
        <w:color w:val="000000"/>
        <w:rtl w:val="0"/>
      </w:rPr>
      <w:t xml:space="preserve">ept of CSE AITS,Tirupathi                                                                                                                                               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pBdr>
        <w:top w:color="833c0b" w:space="1" w:sz="18" w:val="single"/>
        <w:left w:space="0" w:sz="0" w:val="nil"/>
        <w:bottom w:space="0" w:sz="0" w:val="nil"/>
        <w:right w:space="0" w:sz="0" w:val="nil"/>
        <w:between w:space="0" w:sz="0" w:val="nil"/>
      </w:pBdr>
      <w:tabs>
        <w:tab w:val="left" w:leader="none" w:pos="5050"/>
        <w:tab w:val="left" w:leader="none" w:pos="6389"/>
        <w:tab w:val="left" w:leader="none" w:pos="6744"/>
      </w:tabs>
      <w:spacing w:after="0" w:line="240" w:lineRule="auto"/>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Bdr>
        <w:top w:space="0" w:sz="0" w:val="nil"/>
        <w:left w:space="0" w:sz="0" w:val="nil"/>
        <w:bottom w:color="833c0b" w:space="1" w:sz="18" w:val="single"/>
        <w:right w:space="0" w:sz="0" w:val="nil"/>
        <w:between w:space="0" w:sz="0" w:val="nil"/>
      </w:pBd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DATA ANALYTICS WITH TABLEAU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