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Invoice / Інвойс # {{ prefix }}-{{ id }}</w:t>
      </w:r>
    </w:p>
    <w:p w:rsidR="00000000" w:rsidDel="00000000" w:rsidP="00000000" w:rsidRDefault="00000000" w:rsidRPr="00000000" w14:paraId="00000002">
      <w:pPr>
        <w:spacing w:line="276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35"/>
        <w:gridCol w:w="5035"/>
        <w:tblGridChange w:id="0">
          <w:tblGrid>
            <w:gridCol w:w="5035"/>
            <w:gridCol w:w="50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Date of Invoice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date }}</w:t>
            </w:r>
          </w:p>
        </w:tc>
        <w:tc>
          <w:tcPr/>
          <w:p w:rsidR="00000000" w:rsidDel="00000000" w:rsidP="00000000" w:rsidRDefault="00000000" w:rsidRPr="00000000" w14:paraId="00000004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Дата інвойсу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date }} р.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Supplier: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{{ provider_type.ENG }}</w:t>
            </w:r>
          </w:p>
          <w:p w:rsidR="00000000" w:rsidDel="00000000" w:rsidP="00000000" w:rsidRDefault="00000000" w:rsidRPr="00000000" w14:paraId="00000006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provider_name.ENG }}</w:t>
            </w:r>
          </w:p>
          <w:p w:rsidR="00000000" w:rsidDel="00000000" w:rsidP="00000000" w:rsidRDefault="00000000" w:rsidRPr="00000000" w14:paraId="00000007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provider_address.ENG, provider_phone, provider_email, sep=”, “ }}</w:t>
            </w:r>
          </w:p>
          <w:p w:rsidR="00000000" w:rsidDel="00000000" w:rsidP="00000000" w:rsidRDefault="00000000" w:rsidRPr="00000000" w14:paraId="00000008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provider_tax_sys.ENG }}: {{ provider_tax_id }}</w:t>
            </w:r>
          </w:p>
        </w:tc>
        <w:tc>
          <w:tcPr/>
          <w:p w:rsidR="00000000" w:rsidDel="00000000" w:rsidP="00000000" w:rsidRDefault="00000000" w:rsidRPr="00000000" w14:paraId="0000000A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Виконавець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provider_type.UKR }}</w:t>
            </w:r>
          </w:p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provider_name.UKR }}</w:t>
            </w:r>
          </w:p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provider_address.UKR, provider_phone, provider_email, sep=”, “ }}</w:t>
            </w:r>
          </w:p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provider_tax_sys.UKR }}: {{ provider_tax_id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Customer: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client_type.ENG }}</w:t>
            </w:r>
          </w:p>
          <w:p w:rsidR="00000000" w:rsidDel="00000000" w:rsidP="00000000" w:rsidRDefault="00000000" w:rsidRPr="00000000" w14:paraId="00000010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client_name.ENG }}</w:t>
            </w:r>
          </w:p>
          <w:p w:rsidR="00000000" w:rsidDel="00000000" w:rsidP="00000000" w:rsidRDefault="00000000" w:rsidRPr="00000000" w14:paraId="00000011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client_address.ENG, client_phone, client_email, sep=”, “ }}</w:t>
            </w:r>
          </w:p>
          <w:p w:rsidR="00000000" w:rsidDel="00000000" w:rsidP="00000000" w:rsidRDefault="00000000" w:rsidRPr="00000000" w14:paraId="00000012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{{client_tax_sys.ENG}}: {{client_tax_id}}</w:t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Замовник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client_type.UKR }}</w:t>
            </w:r>
          </w:p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client_name.UKR }}</w:t>
            </w:r>
          </w:p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client_address.UKR, client_phone, client_email, sep=”, “ }}</w:t>
            </w:r>
          </w:p>
          <w:p w:rsidR="00000000" w:rsidDel="00000000" w:rsidP="00000000" w:rsidRDefault="00000000" w:rsidRPr="00000000" w14:paraId="00000016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{{client_tax_sys.UKR}}: {{client_tax_id}}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Payer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same as customer</w:t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Платник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той самий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Subject matter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Provision of services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Предмет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Надання послуг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Currency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curr.ENG }}</w:t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Валюта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{{ curr.UKR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Terms of payments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Post payment of 100% upon the services delivery.</w:t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Умови оплати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100% післяплата за фактом надання послуг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F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Supplier Bank information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0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Beneficiary: {{provider_type.ENG}} {{provider_name.ENG}}</w:t>
            </w:r>
          </w:p>
          <w:p w:rsidR="00000000" w:rsidDel="00000000" w:rsidP="00000000" w:rsidRDefault="00000000" w:rsidRPr="00000000" w14:paraId="00000021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Account (IBAN): {{provider_iban}}</w:t>
            </w:r>
          </w:p>
          <w:p w:rsidR="00000000" w:rsidDel="00000000" w:rsidP="00000000" w:rsidRDefault="00000000" w:rsidRPr="00000000" w14:paraId="00000022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Beneficiary’s bank: {{provider_bank_name, provider_bank_info, sep=”, “}}</w:t>
            </w:r>
          </w:p>
          <w:p w:rsidR="00000000" w:rsidDel="00000000" w:rsidP="00000000" w:rsidRDefault="00000000" w:rsidRPr="00000000" w14:paraId="00000023">
            <w:pPr>
              <w:spacing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SWIFT code: {{provider_swift}}</w:t>
            </w:r>
          </w:p>
        </w:tc>
      </w:tr>
    </w:tbl>
    <w:p w:rsidR="00000000" w:rsidDel="00000000" w:rsidP="00000000" w:rsidRDefault="00000000" w:rsidRPr="00000000" w14:paraId="00000025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5"/>
        <w:gridCol w:w="2265"/>
        <w:gridCol w:w="2265"/>
        <w:gridCol w:w="1290"/>
        <w:gridCol w:w="1305"/>
        <w:gridCol w:w="1365"/>
        <w:gridCol w:w="1230"/>
        <w:tblGridChange w:id="0">
          <w:tblGrid>
            <w:gridCol w:w="345"/>
            <w:gridCol w:w="2265"/>
            <w:gridCol w:w="2265"/>
            <w:gridCol w:w="1290"/>
            <w:gridCol w:w="1305"/>
            <w:gridCol w:w="1365"/>
            <w:gridCol w:w="12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#</w:t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Опис</w:t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Unit / Одиниця виміру</w:t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Quantity / Кількість</w:t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Price / Ціна</w:t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Amount / Сума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after="20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{{invl_n}}</w:t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20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{{invl_desc.ENG}}</w:t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20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{{invl_desc.UKR}}</w:t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200"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{{invl_unit}}</w:t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200"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{{invl_qnty}}</w:t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after="200"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{{invl_price}}</w:t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after="200" w:line="276" w:lineRule="auto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{{invl_total}}</w:t>
            </w:r>
          </w:p>
        </w:tc>
      </w:tr>
      <w:tr>
        <w:trPr>
          <w:cantSplit w:val="0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34">
            <w:pPr>
              <w:spacing w:line="276" w:lineRule="auto"/>
              <w:jc w:val="righ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Total/Усього</w:t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line="276" w:lineRule="auto"/>
              <w:jc w:val="righ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{{total}}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B">
            <w:pPr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Total to pay /</w:t>
            </w:r>
          </w:p>
          <w:p w:rsidR="00000000" w:rsidDel="00000000" w:rsidP="00000000" w:rsidRDefault="00000000" w:rsidRPr="00000000" w14:paraId="0000003C">
            <w:pPr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Усього до сплати:</w:t>
            </w:r>
          </w:p>
        </w:tc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3F">
            <w:pPr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total_text.ENG }}</w:t>
            </w:r>
          </w:p>
          <w:p w:rsidR="00000000" w:rsidDel="00000000" w:rsidP="00000000" w:rsidRDefault="00000000" w:rsidRPr="00000000" w14:paraId="00000040">
            <w:pPr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total_text.UKR }}</w:t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line="276" w:lineRule="auto"/>
              <w:jc w:val="righ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{{total}}</w:t>
            </w:r>
          </w:p>
        </w:tc>
      </w:tr>
    </w:tbl>
    <w:p w:rsidR="00000000" w:rsidDel="00000000" w:rsidP="00000000" w:rsidRDefault="00000000" w:rsidRPr="00000000" w14:paraId="00000044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All charges of correspondent banks are at the Supplier’s expenses. / Усі комісії банків-кореспондентів сплачує Виконавець.</w:t>
      </w:r>
    </w:p>
    <w:p w:rsidR="00000000" w:rsidDel="00000000" w:rsidP="00000000" w:rsidRDefault="00000000" w:rsidRPr="00000000" w14:paraId="00000047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Payment hereof at the same time is the evidence of the service delivery, acceptance thereof in full scope and the confirmation of final mutual installments between Parties. / Оплата згідно цього Інвойсу одночасно є свідченням надання послуг, їх прийняття в повному обсязі, а також підтвердженням кінцевих розрахунків між Сторонами.</w:t>
      </w:r>
    </w:p>
    <w:p w:rsidR="00000000" w:rsidDel="00000000" w:rsidP="00000000" w:rsidRDefault="00000000" w:rsidRPr="00000000" w14:paraId="00000048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The Parties shall not be liable for non-performance or improper performance of the obligations under the agreement during the term of insuperable force circumstances. / Сторони звільняються від відповідальності за невиконання чи неналежне виконання зобов’язань за договором на час дії форс-мажорних обставин.</w:t>
      </w:r>
    </w:p>
    <w:p w:rsidR="00000000" w:rsidDel="00000000" w:rsidP="00000000" w:rsidRDefault="00000000" w:rsidRPr="00000000" w14:paraId="00000049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Payment according hereto shall be also the confirmation that Parties have no claims to each other and have no intention to submit any claims. / Оплата згідно цього Інвойсу є підтвердженням того, що Сторони не мають взаємних претензій та не мають наміру направляти рекламації.</w:t>
      </w:r>
    </w:p>
    <w:p w:rsidR="00000000" w:rsidDel="00000000" w:rsidP="00000000" w:rsidRDefault="00000000" w:rsidRPr="00000000" w14:paraId="0000004A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Any disputes arising out of the agreement between the Parties shall be settled by the competent court at the location of a defendant. / Всі спори, що виникнуть між Сторонами по угоді будуть розглядатись компетентним судом за місцезнаходження відповідача.</w:t>
      </w:r>
    </w:p>
    <w:p w:rsidR="00000000" w:rsidDel="00000000" w:rsidP="00000000" w:rsidRDefault="00000000" w:rsidRPr="00000000" w14:paraId="0000004B">
      <w:pPr>
        <w:spacing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76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Supplier/Виконавець: _______________________ ({{provider_rep_name.ENG}} / {{provider_rep_name.UKR}})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QXcYy1fvFvPn1OZwhgsrE+HPbA==">CgMxLjA4AHIhMVVZNzNqWXhSSE1WUmROY3BUVGhyMmVSMmplV0NNZTRa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