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240" w:after="80"/>
        <w:jc w:val="center"/>
      </w:pPr>
      <w:r>
        <w:rPr>
          <w:rFonts w:ascii="Arial" w:cs="Arial" w:eastAsia="Arial" w:hAnsi="Arial"/>
          <w:b/>
          <w:bCs/>
          <w:color w:val="7B5EA7"/>
          <w:sz w:val="56"/>
          <w:szCs w:val="56"/>
        </w:rPr>
        <w:t xml:space="preserve">SHIMOKITAN</w:t>
      </w:r>
    </w:p>
    <w:p>
      <w:pPr>
        <w:spacing w:before="0" w:after="80"/>
        <w:jc w:val="center"/>
      </w:pPr>
      <w:r>
        <w:rPr>
          <w:rFonts w:ascii="Courier New" w:cs="Courier New" w:eastAsia="Courier New" w:hAnsi="Courier New"/>
          <w:color w:val="888888"/>
          <w:sz w:val="22"/>
          <w:szCs w:val="22"/>
        </w:rPr>
        <w:t xml:space="preserve">V.2.0.26 // DIGITAL_DISTRICT</w:t>
      </w:r>
    </w:p>
    <w:p>
      <w:pPr>
        <w:spacing w:before="200" w:after="80"/>
        <w:jc w:val="center"/>
      </w:pPr>
      <w:r>
        <w:rPr>
          <w:rFonts w:ascii="Arial" w:cs="Arial" w:eastAsia="Arial" w:hAnsi="Arial"/>
          <w:b/>
          <w:bCs/>
          <w:color w:val="1A1A2E"/>
          <w:sz w:val="40"/>
          <w:szCs w:val="40"/>
        </w:rPr>
        <w:t xml:space="preserve">ARTIST PAGE REDESIGN</w:t>
      </w:r>
    </w:p>
    <w:p>
      <w:pPr>
        <w:spacing w:before="0" w:after="80"/>
        <w:jc w:val="center"/>
      </w:pPr>
      <w:r>
        <w:rPr>
          <w:rFonts w:ascii="Arial" w:cs="Arial" w:eastAsia="Arial" w:hAnsi="Arial"/>
          <w:color w:val="888888"/>
          <w:sz w:val="24"/>
          <w:szCs w:val="24"/>
        </w:rPr>
        <w:t xml:space="preserve">Design Research, Competitive Analysis &amp; Implementation Roadmap</w:t>
      </w:r>
    </w:p>
    <w:p>
      <w:pPr>
        <w:spacing w:before="400" w:after="80"/>
        <w:jc w:val="center"/>
      </w:pPr>
      <w:r>
        <w:rPr>
          <w:rFonts w:ascii="Courier New" w:cs="Courier New" w:eastAsia="Courier New" w:hAnsi="Courier New"/>
          <w:color w:val="7B5EA7"/>
          <w:sz w:val="18"/>
          <w:szCs w:val="18"/>
        </w:rPr>
        <w:t xml:space="preserve">REGISTRY_RECORD // SECTOR_DESIGN</w:t>
      </w:r>
    </w:p>
    <w:p>
      <w:pPr>
        <w:spacing w:before="0" w:after="0"/>
        <w:jc w:val="center"/>
      </w:pPr>
      <w:r>
        <w:rPr>
          <w:rFonts w:ascii="Arial" w:cs="Arial" w:eastAsia="Arial" w:hAnsi="Arial"/>
          <w:color w:val="888888"/>
          <w:sz w:val="20"/>
          <w:szCs w:val="20"/>
        </w:rPr>
        <w:t xml:space="preserve">Last Updated: March 10, 2026</w:t>
      </w:r>
    </w:p>
    <w:p>
      <w:r>
        <w:br w:type="page"/>
      </w:r>
    </w:p>
    <w:p>
      <w:pPr>
        <w:spacing w:before="40" w:after="40"/>
      </w:pPr>
      <w:r>
        <w:rPr>
          <w:rFonts w:ascii="Courier New" w:cs="Courier New" w:eastAsia="Courier New" w:hAnsi="Courier New"/>
          <w:b/>
          <w:bCs/>
          <w:color w:val="7B5EA7"/>
          <w:sz w:val="18"/>
          <w:szCs w:val="18"/>
        </w:rPr>
        <w:t xml:space="preserve">// SECTION_01</w:t>
      </w:r>
    </w:p>
    <w:p>
      <w:pPr>
        <w:pStyle w:val="Heading1"/>
        <w:spacing w:before="400" w:after="160"/>
      </w:pPr>
      <w:r>
        <w:rPr>
          <w:rFonts w:ascii="Arial" w:cs="Arial" w:eastAsia="Arial" w:hAnsi="Arial"/>
          <w:b/>
          <w:bCs/>
          <w:color w:val="1A1A2E"/>
          <w:sz w:val="36"/>
          <w:szCs w:val="36"/>
        </w:rPr>
        <w:t xml:space="preserve">1. Platform Overview</w:t>
      </w:r>
    </w:p>
    <w:p>
      <w:pPr>
        <w:spacing w:before="80" w:after="120"/>
      </w:pPr>
      <w:r>
        <w:rPr>
          <w:rFonts w:ascii="Arial" w:cs="Arial" w:eastAsia="Arial" w:hAnsi="Arial"/>
          <w:color w:val="1A1A2E"/>
          <w:sz w:val="22"/>
          <w:szCs w:val="22"/>
        </w:rPr>
        <w:t xml:space="preserve">Shimokitan is an independently operated curated archive for Japanese creative culture, built in Indonesia. It indexes anime, music, games, and the creators behind them — treating cultural works as lived experiences worth remembering, not data points or engagement metrics.</w:t>
      </w:r>
    </w:p>
    <w:p>
      <w:pPr>
        <w:spacing w:before="80" w:after="80"/>
      </w:pPr>
      <w:r>
        <w:t xml:space="preserve"/>
      </w:r>
    </w:p>
    <w:p>
      <w:pPr>
        <w:spacing w:before="80" w:after="120"/>
      </w:pPr>
      <w:r>
        <w:rPr>
          <w:rFonts w:ascii="Arial" w:cs="Arial" w:eastAsia="Arial" w:hAnsi="Arial"/>
          <w:color w:val="1A1A2E"/>
          <w:sz w:val="22"/>
          <w:szCs w:val="22"/>
        </w:rPr>
        <w:t xml:space="preserve">The platform is structured around four core content types:</w:t>
      </w:r>
    </w:p>
    <w:p>
      <w:pPr>
        <w:pStyle w:val="ListParagraph"/>
        <w:numPr>
          <w:ilvl w:val="0"/>
          <w:numId w:val="2"/>
        </w:numPr>
        <w:spacing w:before="60" w:after="60"/>
      </w:pPr>
      <w:r>
        <w:rPr>
          <w:rFonts w:ascii="Arial" w:cs="Arial" w:eastAsia="Arial" w:hAnsi="Arial"/>
          <w:color w:val="1A1A2E"/>
          <w:sz w:val="22"/>
          <w:szCs w:val="22"/>
        </w:rPr>
        <w:t xml:space="preserve">Artifacts — Core entries: anime series, albums, films, games, visual novels. Each has metadata, a cover, embedded media, and editorial context.</w:t>
      </w:r>
    </w:p>
    <w:p>
      <w:pPr>
        <w:pStyle w:val="ListParagraph"/>
        <w:numPr>
          <w:ilvl w:val="0"/>
          <w:numId w:val="2"/>
        </w:numPr>
        <w:spacing w:before="60" w:after="60"/>
      </w:pPr>
      <w:r>
        <w:rPr>
          <w:rFonts w:ascii="Arial" w:cs="Arial" w:eastAsia="Arial" w:hAnsi="Arial"/>
          <w:color w:val="1A1A2E"/>
          <w:sz w:val="22"/>
          <w:szCs w:val="22"/>
        </w:rPr>
        <w:t xml:space="preserve">Entities — The people and studios behind the work: directors, composers, animators, labels, development teams.</w:t>
      </w:r>
    </w:p>
    <w:p>
      <w:pPr>
        <w:pStyle w:val="ListParagraph"/>
        <w:numPr>
          <w:ilvl w:val="0"/>
          <w:numId w:val="2"/>
        </w:numPr>
        <w:spacing w:before="60" w:after="60"/>
      </w:pPr>
      <w:r>
        <w:rPr>
          <w:rFonts w:ascii="Arial" w:cs="Arial" w:eastAsia="Arial" w:hAnsi="Arial"/>
          <w:color w:val="1A1A2E"/>
          <w:sz w:val="22"/>
          <w:szCs w:val="22"/>
        </w:rPr>
        <w:t xml:space="preserve">Collections — Curated groupings organized around a theme, a moment, or a mood.</w:t>
      </w:r>
    </w:p>
    <w:p>
      <w:pPr>
        <w:pStyle w:val="ListParagraph"/>
        <w:numPr>
          <w:ilvl w:val="0"/>
          <w:numId w:val="2"/>
        </w:numPr>
        <w:spacing w:before="60" w:after="60"/>
      </w:pPr>
      <w:r>
        <w:rPr>
          <w:rFonts w:ascii="Arial" w:cs="Arial" w:eastAsia="Arial" w:hAnsi="Arial"/>
          <w:color w:val="1A1A2E"/>
          <w:sz w:val="22"/>
          <w:szCs w:val="22"/>
        </w:rPr>
        <w:t xml:space="preserve">Zines — Written reflections attached to artifacts. Personal responses to the work, not reviews.</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1.1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What It Rejects</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Consent-First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artist is archived without explicit permission. Artists choose how they are presented.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Auto-indexing, scraping, unsolicited inclusion</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Zero-Prediction Policy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engagement feeds, no algorithmic recommendations based on watch time or scroll depth.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Dopamine-driven discovery, black-box feeds</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Memory Over Metrics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Works are documented with cultural weight — the album you played on repeat during a specific season.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Scores, stats, completion percentages</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Human-Only Archive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AI-generated media is indexed or accepted. Strictly human effort and culture.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AI-generated art, music, or writing</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No Data Monetization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data is not sold. No intrusive advertising.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Behavioral tracking, ad targeting</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1.2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Phase 0: Prelude (Now)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Coming soon. Curating first artifacts before public launch. Gates are closed.</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Phase 1: Foundation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archive live. Hand-curated artifacts, entities, collections. Internal management only.</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Phase 2: Community &amp; Resonance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Resonance Engine launches. Weighted Zines, deterministic discovery, personal shelves and profiles.</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Commercial Layer (Future)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Artist self-service pages, commerce integrations (BOOTH, Trakteer, Fantia, FANBOX).</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1.3 The Resonance Engine (Phase 2)</w:t>
      </w:r>
    </w:p>
    <w:p>
      <w:pPr>
        <w:spacing w:before="80" w:after="120"/>
      </w:pPr>
      <w:r>
        <w:rPr>
          <w:rFonts w:ascii="Arial" w:cs="Arial" w:eastAsia="Arial" w:hAnsi="Arial"/>
          <w:color w:val="1A1A2E"/>
          <w:sz w:val="22"/>
          <w:szCs w:val="22"/>
        </w:rPr>
        <w:t xml:space="preserve">The Resonance Engine is Shimokitan's core differentiator from every other archive platform. Instead of engagement-driven feeds, artifact visibility is determined by collective, verified human depth.</w:t>
      </w:r>
    </w:p>
    <w:p>
      <w:pPr>
        <w:pStyle w:val="ListParagraph"/>
        <w:numPr>
          <w:ilvl w:val="0"/>
          <w:numId w:val="2"/>
        </w:numPr>
        <w:spacing w:before="60" w:after="60"/>
      </w:pPr>
      <w:r>
        <w:rPr>
          <w:rFonts w:ascii="Arial" w:cs="Arial" w:eastAsia="Arial" w:hAnsi="Arial"/>
          <w:color w:val="1A1A2E"/>
          <w:sz w:val="22"/>
          <w:szCs w:val="22"/>
        </w:rPr>
        <w:t xml:space="preserve">Weighted Zines — Users contribute Zines instead of likes. Zines carry Heat based on the author's earned reputation.</w:t>
      </w:r>
    </w:p>
    <w:p>
      <w:pPr>
        <w:pStyle w:val="ListParagraph"/>
        <w:numPr>
          <w:ilvl w:val="0"/>
          <w:numId w:val="2"/>
        </w:numPr>
        <w:spacing w:before="60" w:after="60"/>
      </w:pPr>
      <w:r>
        <w:rPr>
          <w:rFonts w:ascii="Arial" w:cs="Arial" w:eastAsia="Arial" w:hAnsi="Arial"/>
          <w:color w:val="1A1A2E"/>
          <w:sz w:val="22"/>
          <w:szCs w:val="22"/>
        </w:rPr>
        <w:t xml:space="preserve">Deterministic Discovery — An artifact's visibility is the sum of Heat from all attached Zines. High-integrity human contributions move an artifact into the light.</w:t>
      </w:r>
    </w:p>
    <w:p>
      <w:pPr>
        <w:pStyle w:val="ListParagraph"/>
        <w:numPr>
          <w:ilvl w:val="0"/>
          <w:numId w:val="2"/>
        </w:numPr>
        <w:spacing w:before="60" w:after="60"/>
      </w:pPr>
      <w:r>
        <w:rPr>
          <w:rFonts w:ascii="Arial" w:cs="Arial" w:eastAsia="Arial" w:hAnsi="Arial"/>
          <w:color w:val="1A1A2E"/>
          <w:sz w:val="22"/>
          <w:szCs w:val="22"/>
        </w:rPr>
        <w:t xml:space="preserve">Bot Resistance — The reputation system defends the archive against bots and paid manipulation. You cannot buy visibility.</w:t>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The Resonance Engine is Phase 2 infrastructure. However, the artist page data model must leave room for Zine attachments and Heat scores from the start. Retrofitting this later requires a full refactor.</w:t>
      </w:r>
    </w:p>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SECTION_02</w:t>
      </w:r>
    </w:p>
    <w:p>
      <w:pPr>
        <w:pStyle w:val="Heading1"/>
        <w:spacing w:before="400" w:after="160"/>
      </w:pPr>
      <w:r>
        <w:rPr>
          <w:rFonts w:ascii="Arial" w:cs="Arial" w:eastAsia="Arial" w:hAnsi="Arial"/>
          <w:b/>
          <w:bCs/>
          <w:color w:val="1A1A2E"/>
          <w:sz w:val="36"/>
          <w:szCs w:val="36"/>
        </w:rPr>
        <w:t xml:space="preserve">2. The Artist Page — Current State</w:t>
      </w:r>
    </w:p>
    <w:p>
      <w:pPr>
        <w:spacing w:before="80" w:after="120"/>
      </w:pPr>
      <w:r>
        <w:rPr>
          <w:rFonts w:ascii="Arial" w:cs="Arial" w:eastAsia="Arial" w:hAnsi="Arial"/>
          <w:color w:val="1A1A2E"/>
          <w:sz w:val="22"/>
          <w:szCs w:val="22"/>
        </w:rPr>
        <w:t xml:space="preserve">The artist page (EntityProfileTerminal.tsx) currently functions as a command-line registry entry. It is well-designed within that framing, but it was not originally conceived as a primary feature — it emerged organically as a crediting requirement when archiving works.</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2.1 Current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Width</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Left (Identity)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Avatar, name, biography, entity type badge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Center (Active Links)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link cards (Twitter, YouTube, Niconico), Featured Artifact thumbnail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Right (Archive)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Credited works sidebar with COUNT indicator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r>
    </w:tbl>
    <w:p>
      <w:pPr>
        <w:spacing w:before="80" w:after="80"/>
      </w:pPr>
      <w:r>
        <w:t xml:space="preserve"/>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The center column — the most real estate on the page — is entirely social links. Three buttons that point away from Shimokitan. The archive, which is the reason residency exists, is squeezed into a narrow sidebar. This ratio needs to be reconsidered.</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2.2 Current Pain Points</w:t>
      </w:r>
    </w:p>
    <w:p>
      <w:pPr>
        <w:pStyle w:val="Heading3"/>
        <w:spacing w:before="240" w:after="80"/>
      </w:pPr>
      <w:r>
        <w:rPr>
          <w:rFonts w:ascii="Arial" w:cs="Arial" w:eastAsia="Arial" w:hAnsi="Arial"/>
          <w:b/>
          <w:bCs/>
          <w:color w:val="2D2B55"/>
          <w:sz w:val="22"/>
          <w:szCs w:val="22"/>
        </w:rPr>
        <w:t xml:space="preserve">Mobile Experience</w:t>
      </w:r>
    </w:p>
    <w:p>
      <w:pPr>
        <w:spacing w:before="80" w:after="120"/>
      </w:pPr>
      <w:r>
        <w:rPr>
          <w:rFonts w:ascii="Arial" w:cs="Arial" w:eastAsia="Arial" w:hAnsi="Arial"/>
          <w:color w:val="1A1A2E"/>
          <w:sz w:val="22"/>
          <w:szCs w:val="22"/>
        </w:rPr>
        <w:t xml:space="preserve">Each link card is approximately 90px tall. On a 390px screen, three links consume the entire viewport. The avatar takes up ~40% of the initial scroll before the user reaches any links. A visitor must scroll to discover that there are only three links total.</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Visual Hierarchy</w:t>
      </w:r>
    </w:p>
    <w:p>
      <w:pPr>
        <w:spacing w:before="80" w:after="120"/>
      </w:pPr>
      <w:r>
        <w:rPr>
          <w:rFonts w:ascii="Arial" w:cs="Arial" w:eastAsia="Arial" w:hAnsi="Arial"/>
          <w:color w:val="1A1A2E"/>
          <w:sz w:val="22"/>
          <w:szCs w:val="22"/>
        </w:rPr>
        <w:t xml:space="preserve">A BOOTH commerce link renders identically to a Twitter social link. A Trakteer donation link looks the same as a Niconico channel link. There is no semantic distinction between link categories — no way to tell at a glance what kind of relationship each link represents.</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Static Feeling</w:t>
      </w:r>
    </w:p>
    <w:p>
      <w:pPr>
        <w:spacing w:before="80" w:after="120"/>
      </w:pPr>
      <w:r>
        <w:rPr>
          <w:rFonts w:ascii="Arial" w:cs="Arial" w:eastAsia="Arial" w:hAnsi="Arial"/>
          <w:color w:val="1A1A2E"/>
          <w:sz w:val="22"/>
          <w:szCs w:val="22"/>
        </w:rPr>
        <w:t xml:space="preserve">Nothing on the page signals that this artist is active in the District. No timestamp, no recent activity indicator, no connection to the live Resonance system. The page reads like a filed entry, not a living record.</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Archive Underrepresented</w:t>
      </w:r>
    </w:p>
    <w:p>
      <w:pPr>
        <w:spacing w:before="80" w:after="120"/>
      </w:pPr>
      <w:r>
        <w:rPr>
          <w:rFonts w:ascii="Arial" w:cs="Arial" w:eastAsia="Arial" w:hAnsi="Arial"/>
          <w:color w:val="1A1A2E"/>
          <w:sz w:val="22"/>
          <w:szCs w:val="22"/>
        </w:rPr>
        <w:t xml:space="preserve">The credited works sidebar with COUNT: 1 is the most important section of the page from Shimokitan's perspective — it is proof of residency and the reason the page exists. Yet it has the least visual weight and the least information density of the three columns.</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2.3 The Residency Model — A Reframe</w:t>
      </w:r>
    </w:p>
    <w:p>
      <w:pPr>
        <w:spacing w:before="80" w:after="120"/>
      </w:pPr>
      <w:r>
        <w:rPr>
          <w:rFonts w:ascii="Arial" w:cs="Arial" w:eastAsia="Arial" w:hAnsi="Arial"/>
          <w:color w:val="1A1A2E"/>
          <w:sz w:val="22"/>
          <w:szCs w:val="22"/>
        </w:rPr>
        <w:t xml:space="preserve">The artist page should not be understood as a profile page or a link-in-bio. It is a residency record. When an artist agrees to reside in the District, they are not merely agreeing to be listed — they are agreeing to have their work archived, credited, and resonated with by the community.</w:t>
      </w:r>
    </w:p>
    <w:p>
      <w:pPr>
        <w:spacing w:before="80" w:after="80"/>
      </w:pPr>
      <w:r>
        <w:t xml:space="preserve"/>
      </w:r>
    </w:p>
    <w:p>
      <w:pPr>
        <w:spacing w:before="80" w:after="120"/>
      </w:pPr>
      <w:r>
        <w:rPr>
          <w:rFonts w:ascii="Arial" w:cs="Arial" w:eastAsia="Arial" w:hAnsi="Arial"/>
          <w:color w:val="1A1A2E"/>
          <w:sz w:val="22"/>
          <w:szCs w:val="22"/>
        </w:rPr>
        <w:t xml:space="preserve">This changes the semantic hierarchy of the page fundamentally: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Current Framing</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Residency Framing</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"This person exists, here are their 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person lives here. Here is their body of work."</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Social links are the main 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links are a utility — the portal out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Archive is a sidebar annotation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Archive is the primary evidence of residency</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Static directory 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Living dossier updated by the provenance system</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lit.link replacement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Something that does not currently exist</w:t>
            </w:r>
          </w:p>
        </w:tc>
      </w:tr>
    </w:tbl>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SECTION_03</w:t>
      </w:r>
    </w:p>
    <w:p>
      <w:pPr>
        <w:pStyle w:val="Heading1"/>
        <w:spacing w:before="400" w:after="160"/>
      </w:pPr>
      <w:r>
        <w:rPr>
          <w:rFonts w:ascii="Arial" w:cs="Arial" w:eastAsia="Arial" w:hAnsi="Arial"/>
          <w:b/>
          <w:bCs/>
          <w:color w:val="1A1A2E"/>
          <w:sz w:val="36"/>
          <w:szCs w:val="36"/>
        </w:rPr>
        <w:t xml:space="preserve">3. Competitive Landscape Analysis</w:t>
      </w:r>
    </w:p>
    <w:p>
      <w:pPr>
        <w:pStyle w:val="Heading2"/>
        <w:pBdr>
          <w:bottom w:val="single" w:color="7B5EA7" w:sz="4" w:space="4"/>
        </w:pBdr>
        <w:spacing w:before="320" w:after="120"/>
      </w:pPr>
      <w:r>
        <w:rPr>
          <w:rFonts w:ascii="Arial" w:cs="Arial" w:eastAsia="Arial" w:hAnsi="Arial"/>
          <w:b/>
          <w:bCs/>
          <w:color w:val="1A1A2E"/>
          <w:sz w:val="26"/>
          <w:szCs w:val="26"/>
        </w:rPr>
        <w:t xml:space="preserve">3.1 lit.link</w:t>
      </w:r>
    </w:p>
    <w:p>
      <w:pPr>
        <w:spacing w:before="80" w:after="120"/>
      </w:pPr>
      <w:r>
        <w:rPr>
          <w:rFonts w:ascii="Arial" w:cs="Arial" w:eastAsia="Arial" w:hAnsi="Arial"/>
          <w:color w:val="1A1A2E"/>
          <w:sz w:val="22"/>
          <w:szCs w:val="22"/>
        </w:rPr>
        <w:t xml:space="preserve">lit.link is the dominant link-in-bio platform for Japanese artists, creators, underground idols, and VTubers. Unlike Western platforms (Linktree), lit.link is a visual aggregator — it functions more like a mini-poster than a list of buttons.</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What It Solves</w:t>
      </w:r>
    </w:p>
    <w:p>
      <w:pPr>
        <w:spacing w:before="80" w:after="120"/>
      </w:pPr>
      <w:r>
        <w:rPr>
          <w:rFonts w:ascii="Arial" w:cs="Arial" w:eastAsia="Arial" w:hAnsi="Arial"/>
          <w:color w:val="1A1A2E"/>
          <w:sz w:val="22"/>
          <w:szCs w:val="22"/>
        </w:rPr>
        <w:t xml:space="preserve">Fragmentation. A Japanese artist is typically active across X (Twitter), YouTube, Niconico, Pixiv, BOOTH, Fantia or Ci-en, LINE, and sometimes TikTok. That is 6-8 platforms, and Instagram only gives you one link in bio. lit.link collapses them into one URL with visual identity.</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Core Features</w:t>
      </w:r>
    </w:p>
    <w:p>
      <w:pPr>
        <w:pStyle w:val="ListParagraph"/>
        <w:numPr>
          <w:ilvl w:val="0"/>
          <w:numId w:val="2"/>
        </w:numPr>
        <w:spacing w:before="60" w:after="60"/>
      </w:pPr>
      <w:r>
        <w:rPr>
          <w:rFonts w:ascii="Arial" w:cs="Arial" w:eastAsia="Arial" w:hAnsi="Arial"/>
          <w:color w:val="1A1A2E"/>
          <w:sz w:val="22"/>
          <w:szCs w:val="22"/>
        </w:rPr>
        <w:t xml:space="preserve">Picture Cards — Square image tiles (2x2 or 3x3 grid). Artists upload custom art per platform tile, creating an icon board rather than a button list. This is the killer feature.</w:t>
      </w:r>
    </w:p>
    <w:p>
      <w:pPr>
        <w:pStyle w:val="ListParagraph"/>
        <w:numPr>
          <w:ilvl w:val="0"/>
          <w:numId w:val="2"/>
        </w:numPr>
        <w:spacing w:before="60" w:after="60"/>
      </w:pPr>
      <w:r>
        <w:rPr>
          <w:rFonts w:ascii="Arial" w:cs="Arial" w:eastAsia="Arial" w:hAnsi="Arial"/>
          <w:color w:val="1A1A2E"/>
          <w:sz w:val="22"/>
          <w:szCs w:val="22"/>
        </w:rPr>
        <w:t xml:space="preserve">Three Link Modes — Button (standard), Text (compact inline), Picture (visual tile). Variable density within a single page.</w:t>
      </w:r>
    </w:p>
    <w:p>
      <w:pPr>
        <w:pStyle w:val="ListParagraph"/>
        <w:numPr>
          <w:ilvl w:val="0"/>
          <w:numId w:val="2"/>
        </w:numPr>
        <w:spacing w:before="60" w:after="60"/>
      </w:pPr>
      <w:r>
        <w:rPr>
          <w:rFonts w:ascii="Arial" w:cs="Arial" w:eastAsia="Arial" w:hAnsi="Arial"/>
          <w:color w:val="1A1A2E"/>
          <w:sz w:val="22"/>
          <w:szCs w:val="22"/>
        </w:rPr>
        <w:t xml:space="preserve">Mobile-First Editing — Built and previewed almost exclusively on smartphones. The target user edits between train rides.</w:t>
      </w:r>
    </w:p>
    <w:p>
      <w:pPr>
        <w:pStyle w:val="ListParagraph"/>
        <w:numPr>
          <w:ilvl w:val="0"/>
          <w:numId w:val="2"/>
        </w:numPr>
        <w:spacing w:before="60" w:after="60"/>
      </w:pPr>
      <w:r>
        <w:rPr>
          <w:rFonts w:ascii="Arial" w:cs="Arial" w:eastAsia="Arial" w:hAnsi="Arial"/>
          <w:color w:val="1A1A2E"/>
          <w:sz w:val="22"/>
          <w:szCs w:val="22"/>
        </w:rPr>
        <w:t xml:space="preserve">LINE Integration — A dedicated LINE social button type that Linktree does not have natively. Critical for the Japanese market.</w:t>
      </w:r>
    </w:p>
    <w:p>
      <w:pPr>
        <w:pStyle w:val="ListParagraph"/>
        <w:numPr>
          <w:ilvl w:val="0"/>
          <w:numId w:val="2"/>
        </w:numPr>
        <w:spacing w:before="60" w:after="60"/>
      </w:pPr>
      <w:r>
        <w:rPr>
          <w:rFonts w:ascii="Arial" w:cs="Arial" w:eastAsia="Arial" w:hAnsi="Arial"/>
          <w:color w:val="1A1A2E"/>
          <w:sz w:val="22"/>
          <w:szCs w:val="22"/>
        </w:rPr>
        <w:t xml:space="preserve">Free Tier — Unlimited links, basic templates. Pro plan adds custom domain and analytics.</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lit.link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Generic pages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Picture card mode requires custom images per link. Most artists don't supply them. Most lit.link pages end up looking identical.</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No link hierarchy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links are equal unless manually reordered. No semantic understanding of social vs commerce vs support.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Mobile card density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Button mode cards are large, causing excessive scroll on small screens.</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No connection to 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lit.link is entirely links-out. There is no way to surface credited works or demonstrate cultural footprint.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No community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resonance, no reviews, no Zines. Completely static after creation.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No archive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Cannot reference works that live in a separate archive system.</w:t>
            </w:r>
          </w:p>
        </w:tc>
      </w:tr>
    </w:tbl>
    <w:p>
      <w:pPr>
        <w:spacing w:before="80" w:after="80"/>
      </w:pPr>
      <w:r>
        <w:t xml:space="preserve"/>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lit.link's picture card is its killer feature, but most artists don't use it properly because it requires custom artwork per tile. Shimokitan's terminal aesthetic solves this: every page has a strong visual identity by default, no custom images required.</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3.2 BOOTH (booth.pm)</w:t>
      </w:r>
    </w:p>
    <w:p>
      <w:pPr>
        <w:spacing w:before="80" w:after="120"/>
      </w:pPr>
      <w:r>
        <w:rPr>
          <w:rFonts w:ascii="Arial" w:cs="Arial" w:eastAsia="Arial" w:hAnsi="Arial"/>
          <w:color w:val="1A1A2E"/>
          <w:sz w:val="22"/>
          <w:szCs w:val="22"/>
        </w:rPr>
        <w:t xml:space="preserve">Pixiv's creator-driven marketplace where independent artists sell handmade crafts, prints, apparel, figures, digital assets, and original goods — both physical and digital.</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What It Solves</w:t>
      </w:r>
    </w:p>
    <w:p>
      <w:pPr>
        <w:spacing w:before="80" w:after="120"/>
      </w:pPr>
      <w:r>
        <w:rPr>
          <w:rFonts w:ascii="Arial" w:cs="Arial" w:eastAsia="Arial" w:hAnsi="Arial"/>
          <w:color w:val="1A1A2E"/>
          <w:sz w:val="22"/>
          <w:szCs w:val="22"/>
        </w:rPr>
        <w:t xml:space="preserve">The gap between "I make things" and "I can sell things" — without building a separate storefront. BOOTH handles payment, storage, and shipping.</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Key Implementation Details</w:t>
      </w:r>
    </w:p>
    <w:p>
      <w:pPr>
        <w:pStyle w:val="ListParagraph"/>
        <w:numPr>
          <w:ilvl w:val="0"/>
          <w:numId w:val="2"/>
        </w:numPr>
        <w:spacing w:before="60" w:after="60"/>
      </w:pPr>
      <w:r>
        <w:rPr>
          <w:rFonts w:ascii="Arial" w:cs="Arial" w:eastAsia="Arial" w:hAnsi="Arial"/>
          <w:color w:val="1A1A2E"/>
          <w:sz w:val="22"/>
          <w:szCs w:val="22"/>
        </w:rPr>
        <w:t xml:space="preserve">Integration with Pixiv: products promoted directly on Pixiv with searchable tags and follower notifications. The network effect is the killer feature.</w:t>
      </w:r>
    </w:p>
    <w:p>
      <w:pPr>
        <w:pStyle w:val="ListParagraph"/>
        <w:numPr>
          <w:ilvl w:val="0"/>
          <w:numId w:val="2"/>
        </w:numPr>
        <w:spacing w:before="60" w:after="60"/>
      </w:pPr>
      <w:r>
        <w:rPr>
          <w:rFonts w:ascii="Arial" w:cs="Arial" w:eastAsia="Arial" w:hAnsi="Arial"/>
          <w:color w:val="1A1A2E"/>
          <w:sz w:val="22"/>
          <w:szCs w:val="22"/>
        </w:rPr>
        <w:t xml:space="preserve">Social proof: purchase actions posted on the artist's wall, encouraging other followers to buy.</w:t>
      </w:r>
    </w:p>
    <w:p>
      <w:pPr>
        <w:pStyle w:val="ListParagraph"/>
        <w:numPr>
          <w:ilvl w:val="0"/>
          <w:numId w:val="2"/>
        </w:numPr>
        <w:spacing w:before="60" w:after="60"/>
      </w:pPr>
      <w:r>
        <w:rPr>
          <w:rFonts w:ascii="Arial" w:cs="Arial" w:eastAsia="Arial" w:hAnsi="Arial"/>
          <w:color w:val="1A1A2E"/>
          <w:sz w:val="22"/>
          <w:szCs w:val="22"/>
        </w:rPr>
        <w:t xml:space="preserve">Physical fulfillment: goods can be stored in BOOTH's warehouse with Pixiv handling logistics.</w:t>
      </w:r>
    </w:p>
    <w:p>
      <w:pPr>
        <w:pStyle w:val="ListParagraph"/>
        <w:numPr>
          <w:ilvl w:val="0"/>
          <w:numId w:val="2"/>
        </w:numPr>
        <w:spacing w:before="60" w:after="60"/>
      </w:pPr>
      <w:r>
        <w:rPr>
          <w:rFonts w:ascii="Arial" w:cs="Arial" w:eastAsia="Arial" w:hAnsi="Arial"/>
          <w:color w:val="1A1A2E"/>
          <w:sz w:val="22"/>
          <w:szCs w:val="22"/>
        </w:rPr>
        <w:t xml:space="preserve">Common artist use: cheki (instant photos), voice packs, event goods, digital releases, VRChat avatars.</w:t>
      </w:r>
    </w:p>
    <w:p>
      <w:pPr>
        <w:pStyle w:val="ListParagraph"/>
        <w:numPr>
          <w:ilvl w:val="0"/>
          <w:numId w:val="2"/>
        </w:numPr>
        <w:spacing w:before="60" w:after="60"/>
      </w:pPr>
      <w:r>
        <w:rPr>
          <w:rFonts w:ascii="Arial" w:cs="Arial" w:eastAsia="Arial" w:hAnsi="Arial"/>
          <w:color w:val="1A1A2E"/>
          <w:sz w:val="22"/>
          <w:szCs w:val="22"/>
        </w:rPr>
        <w:t xml:space="preserve">Limitation: most items ship only within Japan. International access is limited.</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3.3 Fantia (fantia.jp)</w:t>
      </w:r>
    </w:p>
    <w:p>
      <w:pPr>
        <w:spacing w:before="80" w:after="120"/>
      </w:pPr>
      <w:r>
        <w:rPr>
          <w:rFonts w:ascii="Arial" w:cs="Arial" w:eastAsia="Arial" w:hAnsi="Arial"/>
          <w:color w:val="1A1A2E"/>
          <w:sz w:val="22"/>
          <w:szCs w:val="22"/>
        </w:rPr>
        <w:t xml:space="preserve">Subscription-based platform operated by Toranoana (famous doujin sales company) with 13 million sign-ups as of March 2024. Subscription tiers with exclusive content, commissions, and merchandise.</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Key Implementation Details</w:t>
      </w:r>
    </w:p>
    <w:p>
      <w:pPr>
        <w:pStyle w:val="ListParagraph"/>
        <w:numPr>
          <w:ilvl w:val="0"/>
          <w:numId w:val="2"/>
        </w:numPr>
        <w:spacing w:before="60" w:after="60"/>
      </w:pPr>
      <w:r>
        <w:rPr>
          <w:rFonts w:ascii="Arial" w:cs="Arial" w:eastAsia="Arial" w:hAnsi="Arial"/>
          <w:color w:val="1A1A2E"/>
          <w:sz w:val="22"/>
          <w:szCs w:val="22"/>
        </w:rPr>
        <w:t xml:space="preserve">12.5% platform fee only on months when the creator generates revenue.</w:t>
      </w:r>
    </w:p>
    <w:p>
      <w:pPr>
        <w:pStyle w:val="ListParagraph"/>
        <w:numPr>
          <w:ilvl w:val="0"/>
          <w:numId w:val="2"/>
        </w:numPr>
        <w:spacing w:before="60" w:after="60"/>
      </w:pPr>
      <w:r>
        <w:rPr>
          <w:rFonts w:ascii="Arial" w:cs="Arial" w:eastAsia="Arial" w:hAnsi="Arial"/>
          <w:color w:val="1A1A2E"/>
          <w:sz w:val="22"/>
          <w:szCs w:val="22"/>
        </w:rPr>
        <w:t xml:space="preserve">Content visibility tied to subscription month. Back-catalog requires separate purchase — a deliberate scarcity model.</w:t>
      </w:r>
    </w:p>
    <w:p>
      <w:pPr>
        <w:pStyle w:val="ListParagraph"/>
        <w:numPr>
          <w:ilvl w:val="0"/>
          <w:numId w:val="2"/>
        </w:numPr>
        <w:spacing w:before="60" w:after="60"/>
      </w:pPr>
      <w:r>
        <w:rPr>
          <w:rFonts w:ascii="Arial" w:cs="Arial" w:eastAsia="Arial" w:hAnsi="Arial"/>
          <w:color w:val="1A1A2E"/>
          <w:sz w:val="22"/>
          <w:szCs w:val="22"/>
        </w:rPr>
        <w:t xml:space="preserve">Access revoked immediately on cancellation, regardless of remaining subscription time. Maximizes sustained subscriptions.</w:t>
      </w:r>
    </w:p>
    <w:p>
      <w:pPr>
        <w:pStyle w:val="ListParagraph"/>
        <w:numPr>
          <w:ilvl w:val="0"/>
          <w:numId w:val="2"/>
        </w:numPr>
        <w:spacing w:before="60" w:after="60"/>
      </w:pPr>
      <w:r>
        <w:rPr>
          <w:rFonts w:ascii="Arial" w:cs="Arial" w:eastAsia="Arial" w:hAnsi="Arial"/>
          <w:color w:val="1A1A2E"/>
          <w:sz w:val="22"/>
          <w:szCs w:val="22"/>
        </w:rPr>
        <w:t xml:space="preserve">Granular access control: specific sections of a single post can be paywalled to different tiers simultaneously.</w:t>
      </w:r>
    </w:p>
    <w:p>
      <w:pPr>
        <w:pStyle w:val="ListParagraph"/>
        <w:numPr>
          <w:ilvl w:val="0"/>
          <w:numId w:val="2"/>
        </w:numPr>
        <w:spacing w:before="60" w:after="60"/>
      </w:pPr>
      <w:r>
        <w:rPr>
          <w:rFonts w:ascii="Arial" w:cs="Arial" w:eastAsia="Arial" w:hAnsi="Arial"/>
          <w:color w:val="1A1A2E"/>
          <w:sz w:val="22"/>
          <w:szCs w:val="22"/>
        </w:rPr>
        <w:t xml:space="preserve">TORA COIN internal currency integrated with the wider Toranoana ecosystem.</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3.4 pixiv FANBOX (fanbox.cc)</w:t>
      </w:r>
    </w:p>
    <w:p>
      <w:pPr>
        <w:spacing w:before="80" w:after="120"/>
      </w:pPr>
      <w:r>
        <w:rPr>
          <w:rFonts w:ascii="Arial" w:cs="Arial" w:eastAsia="Arial" w:hAnsi="Arial"/>
          <w:color w:val="1A1A2E"/>
          <w:sz w:val="22"/>
          <w:szCs w:val="22"/>
        </w:rPr>
        <w:t xml:space="preserve">Patreon equivalent built on Pixiv's 100+ million user base. More fan-friendly than Fantia — subscribers can access all previous rewards for the duration of their subscription.</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Key Differences from Fantia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Back-catalog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FANBOX: free for active subscribers. Fantia: past content costs extra.</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FANBOX: one-time payment collectors common. Fantia: sustained subscription focused.</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Platform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FANBOX: 10% commission. PayPal withdrawals have no additional fee.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International 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FANBOX is more accessible internationally due to Pixiv's global audience.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Best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Creators already established on Pixiv who want to reach international fans.</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3.5 Trakteer (trakteer.id)</w:t>
      </w:r>
    </w:p>
    <w:p>
      <w:pPr>
        <w:spacing w:before="80" w:after="120"/>
      </w:pPr>
      <w:r>
        <w:rPr>
          <w:rFonts w:ascii="Arial" w:cs="Arial" w:eastAsia="Arial" w:hAnsi="Arial"/>
          <w:color w:val="1A1A2E"/>
          <w:sz w:val="22"/>
          <w:szCs w:val="22"/>
        </w:rPr>
        <w:t xml:space="preserve">The dominant Indonesian creator support platform. Direct financial support from fans through one-time donations or regular subscriptions. Analogous to Ko-fi but built specifically for Indonesian payment infrastructure.</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Cultural Framing</w:t>
      </w:r>
    </w:p>
    <w:p>
      <w:pPr>
        <w:spacing w:before="80" w:after="120"/>
      </w:pPr>
      <w:r>
        <w:rPr>
          <w:rFonts w:ascii="Arial" w:cs="Arial" w:eastAsia="Arial" w:hAnsi="Arial"/>
          <w:color w:val="1A1A2E"/>
          <w:sz w:val="22"/>
          <w:szCs w:val="22"/>
        </w:rPr>
        <w:t xml:space="preserve">Named after traktir (Indonesian for "treating someone"). Framing donations as buying your favorite creator a coffee or pizza — much warmer than "pledging" or "subscribing." This emotional framing is core to its adoption.</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Key Implementation Details</w:t>
      </w:r>
    </w:p>
    <w:p>
      <w:pPr>
        <w:pStyle w:val="ListParagraph"/>
        <w:numPr>
          <w:ilvl w:val="0"/>
          <w:numId w:val="2"/>
        </w:numPr>
        <w:spacing w:before="60" w:after="60"/>
      </w:pPr>
      <w:r>
        <w:rPr>
          <w:rFonts w:ascii="Arial" w:cs="Arial" w:eastAsia="Arial" w:hAnsi="Arial"/>
          <w:color w:val="1A1A2E"/>
          <w:sz w:val="22"/>
          <w:szCs w:val="22"/>
        </w:rPr>
        <w:t xml:space="preserve">Support units named after foods and drinks: coffee, ice cream, pizza. Donors buy units anonymously if preferred.</w:t>
      </w:r>
    </w:p>
    <w:p>
      <w:pPr>
        <w:pStyle w:val="ListParagraph"/>
        <w:numPr>
          <w:ilvl w:val="0"/>
          <w:numId w:val="2"/>
        </w:numPr>
        <w:spacing w:before="60" w:after="60"/>
      </w:pPr>
      <w:r>
        <w:rPr>
          <w:rFonts w:ascii="Arial" w:cs="Arial" w:eastAsia="Arial" w:hAnsi="Arial"/>
          <w:color w:val="1A1A2E"/>
          <w:sz w:val="22"/>
          <w:szCs w:val="22"/>
        </w:rPr>
        <w:t xml:space="preserve">Trakteer Shop for digital product sales.</w:t>
      </w:r>
    </w:p>
    <w:p>
      <w:pPr>
        <w:pStyle w:val="ListParagraph"/>
        <w:numPr>
          <w:ilvl w:val="0"/>
          <w:numId w:val="2"/>
        </w:numPr>
        <w:spacing w:before="60" w:after="60"/>
      </w:pPr>
      <w:r>
        <w:rPr>
          <w:rFonts w:ascii="Arial" w:cs="Arial" w:eastAsia="Arial" w:hAnsi="Arial"/>
          <w:color w:val="1A1A2E"/>
          <w:sz w:val="22"/>
          <w:szCs w:val="22"/>
        </w:rPr>
        <w:t xml:space="preserve">Streaming integration: dedicated streamer page, overlay widgets, notification alerts, milestone tracking, leaderboards.</w:t>
      </w:r>
    </w:p>
    <w:p>
      <w:pPr>
        <w:pStyle w:val="ListParagraph"/>
        <w:numPr>
          <w:ilvl w:val="0"/>
          <w:numId w:val="2"/>
        </w:numPr>
        <w:spacing w:before="60" w:after="60"/>
      </w:pPr>
      <w:r>
        <w:rPr>
          <w:rFonts w:ascii="Arial" w:cs="Arial" w:eastAsia="Arial" w:hAnsi="Arial"/>
          <w:color w:val="1A1A2E"/>
          <w:sz w:val="22"/>
          <w:szCs w:val="22"/>
        </w:rPr>
        <w:t xml:space="preserve">5% platform fee — lowest in the space.</w:t>
      </w:r>
    </w:p>
    <w:p>
      <w:pPr>
        <w:pStyle w:val="ListParagraph"/>
        <w:numPr>
          <w:ilvl w:val="0"/>
          <w:numId w:val="2"/>
        </w:numPr>
        <w:spacing w:before="60" w:after="60"/>
      </w:pPr>
      <w:r>
        <w:rPr>
          <w:rFonts w:ascii="Arial" w:cs="Arial" w:eastAsia="Arial" w:hAnsi="Arial"/>
          <w:color w:val="1A1A2E"/>
          <w:sz w:val="22"/>
          <w:szCs w:val="22"/>
        </w:rPr>
        <w:t xml:space="preserve">Payment methods entirely localized: GoPay, OVO, bank transfer, Indonesian e-wallets. Inaccessible internationally without workarounds.</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3.6 Cross-Platform Pattern Analysis</w:t>
      </w:r>
    </w:p>
    <w:p>
      <w:pPr>
        <w:spacing w:before="80" w:after="120"/>
      </w:pPr>
      <w:r>
        <w:rPr>
          <w:rFonts w:ascii="Arial" w:cs="Arial" w:eastAsia="Arial" w:hAnsi="Arial"/>
          <w:color w:val="1A1A2E"/>
          <w:sz w:val="22"/>
          <w:szCs w:val="22"/>
        </w:rPr>
        <w:t xml:space="preserve">The critical insight across all platforms: every one of them solves trust and locality. They work because they integrate with payment methods fans actually have, speak the cultural language of the creator-fan relationship in that market, and sit inside an existing content ecosystem that already has the audience.</w:t>
      </w:r>
    </w:p>
    <w:p>
      <w:pPr>
        <w:spacing w:before="80" w:after="80"/>
      </w:pPr>
      <w:r>
        <w:t xml:space="preserve"/>
      </w:r>
    </w:p>
    <w:p>
      <w:pPr>
        <w:spacing w:before="80" w:after="120"/>
      </w:pPr>
      <w:r>
        <w:rPr>
          <w:rFonts w:ascii="Arial" w:cs="Arial" w:eastAsia="Arial" w:hAnsi="Arial"/>
          <w:color w:val="1A1A2E"/>
          <w:sz w:val="22"/>
          <w:szCs w:val="22"/>
        </w:rPr>
        <w:t xml:space="preserve">Implication for Shimokitan: when an artist profile shows a BOOTH link, a fan reads this person has physical merch available. A FANBOX link reads this person has exclusive content for paying fans. A Trakteer link reads this person accepts support in a way I can actually use.</w:t>
      </w:r>
    </w:p>
    <w:p>
      <w:pPr>
        <w:spacing w:before="80" w:after="80"/>
      </w:pPr>
      <w:r>
        <w:t xml:space="preserve"/>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The current implementation treats all three of those links identically to a Twitter link. They are not the same. They represent entirely different levels of fan commitment and commercial relationship. The LinkShard component must understand link category, not just platform name.</w:t>
      </w:r>
    </w:p>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SECTION_04</w:t>
      </w:r>
    </w:p>
    <w:p>
      <w:pPr>
        <w:pStyle w:val="Heading1"/>
        <w:spacing w:before="400" w:after="160"/>
      </w:pPr>
      <w:r>
        <w:rPr>
          <w:rFonts w:ascii="Arial" w:cs="Arial" w:eastAsia="Arial" w:hAnsi="Arial"/>
          <w:b/>
          <w:bCs/>
          <w:color w:val="1A1A2E"/>
          <w:sz w:val="36"/>
          <w:szCs w:val="36"/>
        </w:rPr>
        <w:t xml:space="preserve">4. The Redesign — Beating lit.link</w:t>
      </w:r>
    </w:p>
    <w:p>
      <w:pPr>
        <w:spacing w:before="80" w:after="120"/>
      </w:pPr>
      <w:r>
        <w:rPr>
          <w:rFonts w:ascii="Arial" w:cs="Arial" w:eastAsia="Arial" w:hAnsi="Arial"/>
          <w:color w:val="1A1A2E"/>
          <w:sz w:val="22"/>
          <w:szCs w:val="22"/>
        </w:rPr>
        <w:t xml:space="preserve">The immediate goal is scoped: make the artist page better than lit.link at being a link-in-bio, without yet building the full commercial layer or community features. Three concrete problems to solve, in order of priority.</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4.1 Problem 1 — Mobile Card Density</w:t>
      </w:r>
    </w:p>
    <w:p>
      <w:pPr>
        <w:pStyle w:val="Heading3"/>
        <w:spacing w:before="240" w:after="80"/>
      </w:pPr>
      <w:r>
        <w:rPr>
          <w:rFonts w:ascii="Arial" w:cs="Arial" w:eastAsia="Arial" w:hAnsi="Arial"/>
          <w:b/>
          <w:bCs/>
          <w:color w:val="2D2B55"/>
          <w:sz w:val="22"/>
          <w:szCs w:val="22"/>
        </w:rPr>
        <w:t xml:space="preserve">Current State</w:t>
      </w:r>
    </w:p>
    <w:p>
      <w:pPr>
        <w:spacing w:before="80" w:after="120"/>
      </w:pPr>
      <w:r>
        <w:rPr>
          <w:rFonts w:ascii="Arial" w:cs="Arial" w:eastAsia="Arial" w:hAnsi="Arial"/>
          <w:color w:val="1A1A2E"/>
          <w:sz w:val="22"/>
          <w:szCs w:val="22"/>
        </w:rPr>
        <w:t xml:space="preserve">Three link cards at approximately 90px each consume the entire mobile viewport. The avatar consumes ~40% of the scroll before links appear. Users must scroll to discover there are only three links.</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Solution: Shard Grid</w:t>
      </w:r>
    </w:p>
    <w:p>
      <w:pPr>
        <w:spacing w:before="80" w:after="120"/>
      </w:pPr>
      <w:r>
        <w:rPr>
          <w:rFonts w:ascii="Arial" w:cs="Arial" w:eastAsia="Arial" w:hAnsi="Arial"/>
          <w:color w:val="1A1A2E"/>
          <w:sz w:val="22"/>
          <w:szCs w:val="22"/>
        </w:rPr>
        <w:t xml:space="preserve">Compress social links into a compact categorized grid. A 3-column shard grid at ~56px square per shard reclaims approximately 200px of vertical space on mobile — the difference between seeing everything at a glance and having to hunt.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Shard size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56px square, icon + platform name label below</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Grid 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columns for social shards, full-width for hero/commerce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Avatar treatment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Compact stamp — present but not a hero image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Section order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Identity stamp → Bio → Works credits → Link shards → Commerce</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4.2 Problem 2 — Link Hierarchy</w:t>
      </w:r>
    </w:p>
    <w:p>
      <w:pPr>
        <w:pStyle w:val="Heading3"/>
        <w:spacing w:before="240" w:after="80"/>
      </w:pPr>
      <w:r>
        <w:rPr>
          <w:rFonts w:ascii="Arial" w:cs="Arial" w:eastAsia="Arial" w:hAnsi="Arial"/>
          <w:b/>
          <w:bCs/>
          <w:color w:val="2D2B55"/>
          <w:sz w:val="22"/>
          <w:szCs w:val="22"/>
        </w:rPr>
        <w:t xml:space="preserve">Current State</w:t>
      </w:r>
    </w:p>
    <w:p>
      <w:pPr>
        <w:spacing w:before="80" w:after="120"/>
      </w:pPr>
      <w:r>
        <w:rPr>
          <w:rFonts w:ascii="Arial" w:cs="Arial" w:eastAsia="Arial" w:hAnsi="Arial"/>
          <w:color w:val="1A1A2E"/>
          <w:sz w:val="22"/>
          <w:szCs w:val="22"/>
        </w:rPr>
        <w:t xml:space="preserve">A BOOTH commerce link renders identically to a Twitter social link. No visual or semantic distinction between link categories.</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Solution: Category-Typed LinkShard</w:t>
      </w:r>
    </w:p>
    <w:p>
      <w:pPr>
        <w:spacing w:before="80" w:after="120"/>
      </w:pPr>
      <w:r>
        <w:rPr>
          <w:rFonts w:ascii="Arial" w:cs="Arial" w:eastAsia="Arial" w:hAnsi="Arial"/>
          <w:color w:val="1A1A2E"/>
          <w:sz w:val="22"/>
          <w:szCs w:val="22"/>
        </w:rPr>
        <w:t xml:space="preserve">Introduce a LinkPriority type and a LinkCategory type. Every link is categorized at the data level, which drives its visual rendering.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SOCIAL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Compact grid shard — icon + name, monochrome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COMMERCE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Dedicated zone, distinct border accent color, BOOTH/Trakteer/FANBOX branding</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Warm accent treatment (Trakteer's traktir framing — softer than commerce)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Recurring indicator, distinct from one-time support</w:t>
            </w:r>
          </w:p>
        </w:tc>
      </w:tr>
    </w:tbl>
    <w:p>
      <w:pPr>
        <w:spacing w:before="80" w:after="80"/>
      </w:pPr>
      <w:r>
        <w:t xml:space="preserve"/>
      </w:r>
    </w:p>
    <w:p>
      <w:pPr>
        <w:spacing w:before="80" w:after="120"/>
      </w:pPr>
      <w:r>
        <w:rPr>
          <w:rFonts w:ascii="Arial" w:cs="Arial" w:eastAsia="Arial" w:hAnsi="Arial"/>
          <w:color w:val="1A1A2E"/>
          <w:sz w:val="22"/>
          <w:szCs w:val="22"/>
        </w:rPr>
        <w:t xml:space="preserve">The LinkPriority type controls rendering size: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Renders As</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hero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Full-width card — latest release, official store, new announcement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shard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Grid square — social platforms, secondary channels</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archive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Text-only compact — older links, supplementary channels</w:t>
            </w:r>
          </w:p>
        </w:tc>
      </w:tr>
    </w:tbl>
    <w:p>
      <w:pPr>
        <w:spacing w:before="80" w:after="80"/>
      </w:pPr>
      <w:r>
        <w:t xml:space="preserve"/>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Example schema: type LinkPriority = 'hero' | 'shard' | 'archive' and type LinkCategory = 'social' | 'commerce' | 'support' | 'subscription'</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4.3 Problem 3 — Static Feeling</w:t>
      </w:r>
    </w:p>
    <w:p>
      <w:pPr>
        <w:pStyle w:val="Heading3"/>
        <w:spacing w:before="240" w:after="80"/>
      </w:pPr>
      <w:r>
        <w:rPr>
          <w:rFonts w:ascii="Arial" w:cs="Arial" w:eastAsia="Arial" w:hAnsi="Arial"/>
          <w:b/>
          <w:bCs/>
          <w:color w:val="2D2B55"/>
          <w:sz w:val="22"/>
          <w:szCs w:val="22"/>
        </w:rPr>
        <w:t xml:space="preserve">Current State</w:t>
      </w:r>
    </w:p>
    <w:p>
      <w:pPr>
        <w:spacing w:before="80" w:after="120"/>
      </w:pPr>
      <w:r>
        <w:rPr>
          <w:rFonts w:ascii="Arial" w:cs="Arial" w:eastAsia="Arial" w:hAnsi="Arial"/>
          <w:color w:val="1A1A2E"/>
          <w:sz w:val="22"/>
          <w:szCs w:val="22"/>
        </w:rPr>
        <w:t xml:space="preserve">Nothing signals that the artist is active in the District. No timestamp, no connection to the live system. The page reads like a filed entry.</w:t>
      </w:r>
    </w:p>
    <w:p>
      <w:pPr>
        <w:spacing w:before="80" w:after="80"/>
      </w:pPr>
      <w:r>
        <w:t xml:space="preserve"/>
      </w:r>
    </w:p>
    <w:p>
      <w:pPr>
        <w:pStyle w:val="Heading3"/>
        <w:spacing w:before="240" w:after="80"/>
      </w:pPr>
      <w:r>
        <w:rPr>
          <w:rFonts w:ascii="Arial" w:cs="Arial" w:eastAsia="Arial" w:hAnsi="Arial"/>
          <w:b/>
          <w:bCs/>
          <w:color w:val="2D2B55"/>
          <w:sz w:val="22"/>
          <w:szCs w:val="22"/>
        </w:rPr>
        <w:t xml:space="preserve">Solution: Living Record Signals</w:t>
      </w:r>
    </w:p>
    <w:p>
      <w:pPr>
        <w:pStyle w:val="ListParagraph"/>
        <w:numPr>
          <w:ilvl w:val="0"/>
          <w:numId w:val="2"/>
        </w:numPr>
        <w:spacing w:before="60" w:after="60"/>
      </w:pPr>
      <w:r>
        <w:rPr>
          <w:rFonts w:ascii="Arial" w:cs="Arial" w:eastAsia="Arial" w:hAnsi="Arial"/>
          <w:color w:val="1A1A2E"/>
          <w:sz w:val="22"/>
          <w:szCs w:val="22"/>
        </w:rPr>
        <w:t xml:space="preserve">RESIDENT_SINCE timestamp in the identity section.</w:t>
      </w:r>
    </w:p>
    <w:p>
      <w:pPr>
        <w:pStyle w:val="ListParagraph"/>
        <w:numPr>
          <w:ilvl w:val="0"/>
          <w:numId w:val="2"/>
        </w:numPr>
        <w:spacing w:before="60" w:after="60"/>
      </w:pPr>
      <w:r>
        <w:rPr>
          <w:rFonts w:ascii="Arial" w:cs="Arial" w:eastAsia="Arial" w:hAnsi="Arial"/>
          <w:color w:val="1A1A2E"/>
          <w:sz w:val="22"/>
          <w:szCs w:val="22"/>
        </w:rPr>
        <w:t xml:space="preserve">LAST_CREDIT timestamp pulled automatically from the most recent artifact where this entity appears in the Provenance Tree.</w:t>
      </w:r>
    </w:p>
    <w:p>
      <w:pPr>
        <w:pStyle w:val="ListParagraph"/>
        <w:numPr>
          <w:ilvl w:val="0"/>
          <w:numId w:val="2"/>
        </w:numPr>
        <w:spacing w:before="60" w:after="60"/>
      </w:pPr>
      <w:r>
        <w:rPr>
          <w:rFonts w:ascii="Arial" w:cs="Arial" w:eastAsia="Arial" w:hAnsi="Arial"/>
          <w:color w:val="1A1A2E"/>
          <w:sz w:val="22"/>
          <w:szCs w:val="22"/>
        </w:rPr>
        <w:t xml:space="preserve">RESONANCE slot on the works list — even if 0 at launch, the slot signals the page is built for community response.</w:t>
      </w:r>
    </w:p>
    <w:p>
      <w:pPr>
        <w:pStyle w:val="ListParagraph"/>
        <w:numPr>
          <w:ilvl w:val="0"/>
          <w:numId w:val="2"/>
        </w:numPr>
        <w:spacing w:before="60" w:after="60"/>
      </w:pPr>
      <w:r>
        <w:rPr>
          <w:rFonts w:ascii="Arial" w:cs="Arial" w:eastAsia="Arial" w:hAnsi="Arial"/>
          <w:color w:val="1A1A2E"/>
          <w:sz w:val="22"/>
          <w:szCs w:val="22"/>
        </w:rPr>
        <w:t xml:space="preserve">Lock icon treatment for collaborators who are not yet residents — elegantly acknowledges they exist without claiming them. This pattern already works well on the artifact page and should be consistent on the artist page.</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4.4 The Featured Artifact — Current vs. Proposed</w:t>
      </w:r>
    </w:p>
    <w:p>
      <w:pPr>
        <w:spacing w:before="80" w:after="120"/>
      </w:pPr>
      <w:r>
        <w:rPr>
          <w:rFonts w:ascii="Arial" w:cs="Arial" w:eastAsia="Arial" w:hAnsi="Arial"/>
          <w:color w:val="1A1A2E"/>
          <w:sz w:val="22"/>
          <w:szCs w:val="22"/>
        </w:rPr>
        <w:t xml:space="preserve">The FEATURED_ARTIFACT section currently sits at the bottom of the center column as a large thumbnail. It is the most alive element on the page, but it is buried.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Proposed</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Thumbnail at bottom of center column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Pinnable hero slot — latest work or artist-selected feature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Static image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Cover image + title + role badge + Resonance score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No connection to artifact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link to full artifact page with Provenance Tree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Below social 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Above social links — the proof leads, the portal follows</w:t>
            </w:r>
          </w:p>
        </w:tc>
      </w:tr>
    </w:tbl>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SECTION_05</w:t>
      </w:r>
    </w:p>
    <w:p>
      <w:pPr>
        <w:pStyle w:val="Heading1"/>
        <w:spacing w:before="400" w:after="160"/>
      </w:pPr>
      <w:r>
        <w:rPr>
          <w:rFonts w:ascii="Arial" w:cs="Arial" w:eastAsia="Arial" w:hAnsi="Arial"/>
          <w:b/>
          <w:bCs/>
          <w:color w:val="1A1A2E"/>
          <w:sz w:val="36"/>
          <w:szCs w:val="36"/>
        </w:rPr>
        <w:t xml:space="preserve">5. Artifact Page — The Provenance System</w:t>
      </w:r>
    </w:p>
    <w:p>
      <w:pPr>
        <w:spacing w:before="80" w:after="120"/>
      </w:pPr>
      <w:r>
        <w:rPr>
          <w:rFonts w:ascii="Arial" w:cs="Arial" w:eastAsia="Arial" w:hAnsi="Arial"/>
          <w:color w:val="1A1A2E"/>
          <w:sz w:val="22"/>
          <w:szCs w:val="22"/>
        </w:rPr>
        <w:t xml:space="preserve">The artifact page is the other half of the artist page relationship. Understanding it is necessary to understand why the artist page credit system works the way it does.</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5.1 Provenance Tree</w:t>
      </w:r>
    </w:p>
    <w:p>
      <w:pPr>
        <w:spacing w:before="80" w:after="120"/>
      </w:pPr>
      <w:r>
        <w:rPr>
          <w:rFonts w:ascii="Arial" w:cs="Arial" w:eastAsia="Arial" w:hAnsi="Arial"/>
          <w:color w:val="1A1A2E"/>
          <w:sz w:val="22"/>
          <w:szCs w:val="22"/>
        </w:rPr>
        <w:t xml:space="preserve">Each artifact has a Provenance Tree in the right sidebar that records all credited contributors with semantic role distinctions: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ROOT_AUTHORITY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Original composer, original IP owner, citational ancestry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はるまきごはん as CITATIONAL_ANCESTRY on a cover song</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CORE_AUTHORITY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performer or creator of this specific artifact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祈祷 as VOCAL // PRIMARY</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COLLABORATIVE_FLUX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Supporting contributors: illustrator, mixer, video editor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DANE (ILLUST), SOL (VIDEO), イケベタクロウ (MIX)</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5.2 Locked Collaborators</w:t>
      </w:r>
    </w:p>
    <w:p>
      <w:pPr>
        <w:spacing w:before="80" w:after="120"/>
      </w:pPr>
      <w:r>
        <w:rPr>
          <w:rFonts w:ascii="Arial" w:cs="Arial" w:eastAsia="Arial" w:hAnsi="Arial"/>
          <w:color w:val="1A1A2E"/>
          <w:sz w:val="22"/>
          <w:szCs w:val="22"/>
        </w:rPr>
        <w:t xml:space="preserve">Collaborators who are not yet residents in the District appear with a lock icon. They are acknowledged in the Provenance Tree without being claimed. When they eventually join Shimokitan, their artist page auto-populates with all credits that were already waiting for them.</w:t>
      </w:r>
    </w:p>
    <w:p>
      <w:pPr>
        <w:spacing w:before="80" w:after="80"/>
      </w:pPr>
      <w:r>
        <w:t xml:space="preserve"/>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This is one of the most elegant features of the current system. The lock icon is a promise: your credits are already here, waiting for you to claim residency. It creates organic incentive for artists to join.</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5.3 Reverse Credit View</w:t>
      </w:r>
    </w:p>
    <w:p>
      <w:pPr>
        <w:spacing w:before="80" w:after="120"/>
      </w:pPr>
      <w:r>
        <w:rPr>
          <w:rFonts w:ascii="Arial" w:cs="Arial" w:eastAsia="Arial" w:hAnsi="Arial"/>
          <w:color w:val="1A1A2E"/>
          <w:sz w:val="22"/>
          <w:szCs w:val="22"/>
        </w:rPr>
        <w:t xml:space="preserve">The artist page is the reverse view of the Provenance Tree. Where the artifact page shows who contributed to this work, the artist page shows all works where this entity appears in any authority tier. This relationship should be automatic — when a new artifact is archived with an existing entity in its Provenance Tree, that credit appears on the artist page without any manual update.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Shows</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Artifact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work + all who contributed to it (Provenance Tree)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Artist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person + all works they are credited on (reverse Provenance)</w:t>
            </w:r>
          </w:p>
        </w:tc>
      </w:tr>
    </w:tbl>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SECTION_06</w:t>
      </w:r>
    </w:p>
    <w:p>
      <w:pPr>
        <w:pStyle w:val="Heading1"/>
        <w:spacing w:before="400" w:after="160"/>
      </w:pPr>
      <w:r>
        <w:rPr>
          <w:rFonts w:ascii="Arial" w:cs="Arial" w:eastAsia="Arial" w:hAnsi="Arial"/>
          <w:b/>
          <w:bCs/>
          <w:color w:val="1A1A2E"/>
          <w:sz w:val="36"/>
          <w:szCs w:val="36"/>
        </w:rPr>
        <w:t xml:space="preserve">6. Implementation Roadmap</w:t>
      </w:r>
    </w:p>
    <w:p>
      <w:pPr>
        <w:pStyle w:val="Heading2"/>
        <w:pBdr>
          <w:bottom w:val="single" w:color="7B5EA7" w:sz="4" w:space="4"/>
        </w:pBdr>
        <w:spacing w:before="320" w:after="120"/>
      </w:pPr>
      <w:r>
        <w:rPr>
          <w:rFonts w:ascii="Arial" w:cs="Arial" w:eastAsia="Arial" w:hAnsi="Arial"/>
          <w:b/>
          <w:bCs/>
          <w:color w:val="1A1A2E"/>
          <w:sz w:val="26"/>
          <w:szCs w:val="26"/>
        </w:rPr>
        <w:t xml:space="preserve">6.1 Phase A — Beat lit.link (Current Sprint)</w:t>
      </w:r>
    </w:p>
    <w:p>
      <w:pPr>
        <w:spacing w:before="80" w:after="120"/>
      </w:pPr>
      <w:r>
        <w:rPr>
          <w:rFonts w:ascii="Arial" w:cs="Arial" w:eastAsia="Arial" w:hAnsi="Arial"/>
          <w:color w:val="1A1A2E"/>
          <w:sz w:val="22"/>
          <w:szCs w:val="22"/>
        </w:rPr>
        <w:t xml:space="preserve">Scoped to solving the three concrete problems identified in Section 4. No commercial integrations, no community features.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1. Define LinkPriority &amp; LinkCategory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 LinkPriority = 'hero' | 'shard' | 'archive' and type LinkCategory = 'social' | 'commerce' | 'support' | 'subscription'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2. Build LinkShard 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Toggles between full-width and grid-square based on priority. Category drives border accent and icon treatment.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3. Implement shard grid 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3-column grid for social shards on mobile. Reclaims ~200px vertical space.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4. Avatar compression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Reduce avatar to stamp size on mobile. Not a hero image.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5. Featured artifact promotion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Move featured artifact above social links. Add role badge and Resonance score slot.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6. Living record signals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RESIDENT_SINCE and LAST_CREDIT timestamps to identity section.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7. Mobile sticky header audit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Verify nav icons from desktop are accessible on mobile via an alternative path.</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6.2 Phase B — Commercial Layer (Future)</w:t>
      </w:r>
    </w:p>
    <w:p>
      <w:pPr>
        <w:spacing w:before="80" w:after="120"/>
      </w:pPr>
      <w:r>
        <w:rPr>
          <w:rFonts w:ascii="Arial" w:cs="Arial" w:eastAsia="Arial" w:hAnsi="Arial"/>
          <w:color w:val="1A1A2E"/>
          <w:sz w:val="22"/>
          <w:szCs w:val="22"/>
        </w:rPr>
        <w:t xml:space="preserve">After Phase A is stable. Introduces commerce-specific link treatments and integrations with Japanese and Indonesian creator platforms.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BOOTH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Commerce shard — links to artist's BOOTH storefront. Display recent product thumbnails if API available.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Trakteer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Support shard — warm accent treatment. Localized for Indonesian fans.</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pixiv FANBOX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 shard — recurring indicator. Pixiv network integration.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Fantia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 shard — tier preview if public API available.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Ci-en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 shard — doujin-adjacent creator base.</w:t>
            </w:r>
          </w:p>
        </w:tc>
      </w:tr>
    </w:tbl>
    <w:p>
      <w:pPr>
        <w:spacing w:before="80" w:after="80"/>
      </w:pPr>
      <w:r>
        <w:t xml:space="preserve"/>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Commerce integration requires deciding whether Shimokitan embeds commerce directly or simply links out with category-aware visual treatment. The latter is safer for Phase A and respects the platform's consent-first philosophy.</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6.3 Phase C — Self-Service Artist Accounts (Future)</w:t>
      </w:r>
    </w:p>
    <w:p>
      <w:pPr>
        <w:spacing w:before="80" w:after="120"/>
      </w:pPr>
      <w:r>
        <w:rPr>
          <w:rFonts w:ascii="Arial" w:cs="Arial" w:eastAsia="Arial" w:hAnsi="Arial"/>
          <w:color w:val="1A1A2E"/>
          <w:sz w:val="22"/>
          <w:szCs w:val="22"/>
        </w:rPr>
        <w:t xml:space="preserve">Artists manage their own pages after account creation. Consent-first policy is maintained through the account onboarding flow — agreeing to reside in the District is part of registration.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Artist account creation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Consent agreement baked into onboarding. Not optional.</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Link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Artists add/reorder/categorize their own links via a management interface.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Featured artifact selection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Artist pins their preferred featured work from their credits list.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Avatar and bio editing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Self-managed. Profile image upload with consent documentation.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Commerce link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Artist adds BOOTH, Trakteer, FANBOX URLs. Category auto-detected from URL pattern.</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6.4 Phase D — Resonance Integration (Phase 2 Alignment)</w:t>
      </w:r>
    </w:p>
    <w:p>
      <w:pPr>
        <w:spacing w:before="80" w:after="120"/>
      </w:pPr>
      <w:r>
        <w:rPr>
          <w:rFonts w:ascii="Arial" w:cs="Arial" w:eastAsia="Arial" w:hAnsi="Arial"/>
          <w:color w:val="1A1A2E"/>
          <w:sz w:val="22"/>
          <w:szCs w:val="22"/>
        </w:rPr>
        <w:t xml:space="preserve">The artist page becomes a living cultural dossier. Community Zines attached to credited works surface on the artist page. Heat scores from the Resonance Engine drive the artist's cultural footprint in the District.</w:t>
      </w:r>
    </w:p>
    <w:p>
      <w:pPr>
        <w:spacing w:before="80" w:after="80"/>
      </w:pPr>
      <w:r>
        <w:t xml:space="preserve"/>
      </w:r>
    </w:p>
    <w:p>
      <w:pPr>
        <w:pBdr>
          <w:left w:val="single" w:color="7B5EA7" w:sz="12" w:space="8"/>
        </w:pBdr>
        <w:shd w:fill="F3F0FA" w:val="clear"/>
        <w:spacing w:before="80" w:after="120"/>
        <w:ind w:left="240"/>
      </w:pPr>
      <w:r>
        <w:rPr>
          <w:rFonts w:ascii="Arial" w:cs="Arial" w:eastAsia="Arial" w:hAnsi="Arial"/>
          <w:i/>
          <w:iCs/>
          <w:color w:val="555555"/>
          <w:sz w:val="20"/>
          <w:szCs w:val="20"/>
        </w:rPr>
        <w:t xml:space="preserve">Critical: the data model must accommodate Zine attachment points and Heat scores from Phase A onwards. Retrofitting this after a full artist page launch requires breaking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Zine 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Zines written about credited works appear in a RESONANCE section on the artist page.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Heat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Heat across all credited works displayed as artist-level resonance score.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Offboarding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artist withdraws consent: page delisted, but community Zines about their work are orphaned — requires policy decision.</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Locked collaborator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locked collaborator joins, their artist page inherits all prior credits automatically.</w:t>
            </w:r>
          </w:p>
        </w:tc>
      </w:tr>
    </w:tbl>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SECTION_07</w:t>
      </w:r>
    </w:p>
    <w:p>
      <w:pPr>
        <w:pStyle w:val="Heading1"/>
        <w:spacing w:before="400" w:after="160"/>
      </w:pPr>
      <w:r>
        <w:rPr>
          <w:rFonts w:ascii="Arial" w:cs="Arial" w:eastAsia="Arial" w:hAnsi="Arial"/>
          <w:b/>
          <w:bCs/>
          <w:color w:val="1A1A2E"/>
          <w:sz w:val="36"/>
          <w:szCs w:val="36"/>
        </w:rPr>
        <w:t xml:space="preserve">7. Open Questions &amp; Decisions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Artist offboarding with Zines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an artist withdraws residency consent, what happens to community Zines written about their credited works? The works themselves are archived, but the artist's own page delists. Zines are community property, not artist property — but they reference the artist. Requires a policy decision before Phase 2 launch.</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Changelog route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/changelog route currently redirects to the coming-soon wall. The about page nav shows a Changelog link, suggesting content exists but the route is not resolving to the correct locale path. Worth checking next.</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Age threshold in Privacy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Privacy policy cites under 13 (COPPA standard). Given the platform content (underground idol culture, mature anime/game themes) and planned community features, 16 may be a more defensible threshold.</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Affiliate tracking cookies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Crunchyroll and Apple Music affiliate tracking parameters will place third-party cookies on visitor browsers. This is at mild tension with the current privacy policy statement about not using analytics cookies. The distinction should be clarified when those integrations go live.</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Commerce: embed or link 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BOOTH, Trakteer, FANBOX — does Shimokitan embed commerce widgets (deeper integration) or link out with category-aware visual treatment (safer, consent-first)? The latter is recommended for Phase B.</w:t>
            </w:r>
          </w:p>
        </w:tc>
      </w:tr>
      <w:tr>
        <w:tc>
          <w:tcPr>
            <w:tcW w:type="dxa" w:w="28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Credit linkage automation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the reverse credit view (all artifacts where an entity is credited) automatic from the artifact side, or manually added to the entity record? Automation is strongly preferred for the living record model.</w:t>
            </w:r>
          </w:p>
        </w:tc>
      </w:tr>
    </w:tbl>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SECTION_08</w:t>
      </w:r>
    </w:p>
    <w:p>
      <w:pPr>
        <w:pStyle w:val="Heading1"/>
        <w:spacing w:before="400" w:after="160"/>
      </w:pPr>
      <w:r>
        <w:rPr>
          <w:rFonts w:ascii="Arial" w:cs="Arial" w:eastAsia="Arial" w:hAnsi="Arial"/>
          <w:b/>
          <w:bCs/>
          <w:color w:val="1A1A2E"/>
          <w:sz w:val="36"/>
          <w:szCs w:val="36"/>
        </w:rPr>
        <w:t xml:space="preserve">8. Shimokitan Site Analysis</w:t>
      </w:r>
    </w:p>
    <w:p>
      <w:pPr>
        <w:spacing w:before="80" w:after="120"/>
      </w:pPr>
      <w:r>
        <w:rPr>
          <w:rFonts w:ascii="Arial" w:cs="Arial" w:eastAsia="Arial" w:hAnsi="Arial"/>
          <w:color w:val="1A1A2E"/>
          <w:sz w:val="22"/>
          <w:szCs w:val="22"/>
        </w:rPr>
        <w:t xml:space="preserve">Analysis of the public-facing pages as of March 10, 2026.</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8.1 About Page</w:t>
      </w:r>
    </w:p>
    <w:p>
      <w:pPr>
        <w:spacing w:before="80" w:after="120"/>
      </w:pPr>
      <w:r>
        <w:rPr>
          <w:rFonts w:ascii="Arial" w:cs="Arial" w:eastAsia="Arial" w:hAnsi="Arial"/>
          <w:color w:val="1A1A2E"/>
          <w:sz w:val="22"/>
          <w:szCs w:val="22"/>
        </w:rPr>
        <w:t xml:space="preserve">The writing is strong and the voice is consistent. The Shimokitazawa reference is earned rather than decorative. The memory vs. metrics framing is a genuine philosophical hook that differentiates the platform in one sentence.</w:t>
      </w:r>
    </w:p>
    <w:p>
      <w:pPr>
        <w:spacing w:before="80" w:after="80"/>
      </w:pPr>
      <w:r>
        <w:t xml:space="preserve"/>
      </w:r>
    </w:p>
    <w:p>
      <w:pPr>
        <w:spacing w:before="80" w:after="120"/>
      </w:pPr>
      <w:r>
        <w:rPr>
          <w:rFonts w:ascii="Arial" w:cs="Arial" w:eastAsia="Arial" w:hAnsi="Arial"/>
          <w:color w:val="1A1A2E"/>
          <w:sz w:val="22"/>
          <w:szCs w:val="22"/>
        </w:rPr>
        <w:t xml:space="preserve">One tension: the about page describes the platform as a curated archive in almost every paragraph. This is accurate but undersells the artist residency dimension. As the platform grows, the about page will need to reflect that Shimokitan is a living platform with active creator relationships, not just an archive.</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8.2 Vision &amp; Roadmap</w:t>
      </w:r>
    </w:p>
    <w:p>
      <w:pPr>
        <w:spacing w:before="80" w:after="120"/>
      </w:pPr>
      <w:r>
        <w:rPr>
          <w:rFonts w:ascii="Arial" w:cs="Arial" w:eastAsia="Arial" w:hAnsi="Arial"/>
          <w:color w:val="1A1A2E"/>
          <w:sz w:val="22"/>
          <w:szCs w:val="22"/>
        </w:rPr>
        <w:t xml:space="preserve">The Resonance Engine (Phase 2) is the most interesting part of the roadmap. Weighted Zines with author Heat as artifact visibility signal is a genuinely novel approach that solves the bot/manipulation problem in a culturally coherent way.</w:t>
      </w:r>
    </w:p>
    <w:p>
      <w:pPr>
        <w:spacing w:before="80" w:after="80"/>
      </w:pPr>
      <w:r>
        <w:t xml:space="preserve"/>
      </w:r>
    </w:p>
    <w:p>
      <w:pPr>
        <w:spacing w:before="80" w:after="120"/>
      </w:pPr>
      <w:r>
        <w:rPr>
          <w:rFonts w:ascii="Arial" w:cs="Arial" w:eastAsia="Arial" w:hAnsi="Arial"/>
          <w:color w:val="1A1A2E"/>
          <w:sz w:val="22"/>
          <w:szCs w:val="22"/>
        </w:rPr>
        <w:t xml:space="preserve">Tension to monitor: Phase 1 is entirely curator-controlled with no community participation. Phase 2 introduces a community system the platform has not yet designed for. The artist page infrastructure being built now is Phase 1 — but it must leave room for Phase 2's Zine and Heat mechanics.</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8.3 Privacy Policy</w:t>
      </w:r>
    </w:p>
    <w:p>
      <w:pPr>
        <w:spacing w:before="80" w:after="120"/>
      </w:pPr>
      <w:r>
        <w:rPr>
          <w:rFonts w:ascii="Arial" w:cs="Arial" w:eastAsia="Arial" w:hAnsi="Arial"/>
          <w:color w:val="1A1A2E"/>
          <w:sz w:val="22"/>
          <w:szCs w:val="22"/>
        </w:rPr>
        <w:t xml:space="preserve">One of the more honest privacy policies for a small independent platform. Notable for its specificity: contact form data is email-only, not stored in a database, deleted after resolution. Section 2.5 on artist permission correspondence is well-considered — it acknowledges data retention, explains why, and provides a deletion path.</w:t>
      </w:r>
    </w:p>
    <w:p>
      <w:pPr>
        <w:spacing w:before="80" w:after="80"/>
      </w:pPr>
      <w:r>
        <w:t xml:space="preserve"/>
      </w:r>
    </w:p>
    <w:p>
      <w:pPr>
        <w:spacing w:before="80" w:after="120"/>
      </w:pPr>
      <w:r>
        <w:rPr>
          <w:rFonts w:ascii="Arial" w:cs="Arial" w:eastAsia="Arial" w:hAnsi="Arial"/>
          <w:color w:val="1A1A2E"/>
          <w:sz w:val="22"/>
          <w:szCs w:val="22"/>
        </w:rPr>
        <w:t xml:space="preserve">Recommended follow-ups: clarify the distinction between first-party analytics cookies (none) and affiliate tracking parameters (coming) when Crunchyroll and Apple Music integrations go live. Review the age threshold (currently 13) given platform content and planned community features.</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8.4 Copyright Policy</w:t>
      </w:r>
    </w:p>
    <w:p>
      <w:pPr>
        <w:spacing w:before="80" w:after="120"/>
      </w:pPr>
      <w:r>
        <w:rPr>
          <w:rFonts w:ascii="Arial" w:cs="Arial" w:eastAsia="Arial" w:hAnsi="Arial"/>
          <w:color w:val="1A1A2E"/>
          <w:sz w:val="22"/>
          <w:szCs w:val="22"/>
        </w:rPr>
        <w:t xml:space="preserve">The consent-first framework is legally coherent and genuinely differentiated. The distinction between broad archival entries (metadata + cover art for referential use) and artist entries (explicit consent required) is a defensible legal structure that most fan archives do not bother with.</w:t>
      </w:r>
    </w:p>
    <w:p>
      <w:pPr>
        <w:spacing w:before="80" w:after="80"/>
      </w:pPr>
      <w:r>
        <w:t xml:space="preserve"/>
      </w:r>
    </w:p>
    <w:p>
      <w:pPr>
        <w:spacing w:before="80" w:after="120"/>
      </w:pPr>
      <w:r>
        <w:rPr>
          <w:rFonts w:ascii="Arial" w:cs="Arial" w:eastAsia="Arial" w:hAnsi="Arial"/>
          <w:color w:val="1A1A2E"/>
          <w:sz w:val="22"/>
          <w:szCs w:val="22"/>
        </w:rPr>
        <w:t xml:space="preserve">Gap: no description of what happens when a previously consenting artist withdraws consent. The privacy policy handles data deletion requests, but the copyright policy does not describe the offboarding flow for an artist who leaves the District. This becomes more complex in Phase 2 when community Zines are attached to their credited works.</w:t>
      </w:r>
    </w:p>
    <w:p>
      <w:pPr>
        <w:spacing w:before="80" w:after="80"/>
      </w:pPr>
      <w:r>
        <w:t xml:space="preserve"/>
      </w:r>
    </w:p>
    <w:p>
      <w:r>
        <w:br w:type="page"/>
      </w:r>
    </w:p>
    <w:p>
      <w:pPr>
        <w:spacing w:before="40" w:after="40"/>
      </w:pPr>
      <w:r>
        <w:rPr>
          <w:rFonts w:ascii="Courier New" w:cs="Courier New" w:eastAsia="Courier New" w:hAnsi="Courier New"/>
          <w:b/>
          <w:bCs/>
          <w:color w:val="7B5EA7"/>
          <w:sz w:val="18"/>
          <w:szCs w:val="18"/>
        </w:rPr>
        <w:t xml:space="preserve">// APPENDIX</w:t>
      </w:r>
    </w:p>
    <w:p>
      <w:pPr>
        <w:pStyle w:val="Heading1"/>
        <w:spacing w:before="400" w:after="160"/>
      </w:pPr>
      <w:r>
        <w:rPr>
          <w:rFonts w:ascii="Arial" w:cs="Arial" w:eastAsia="Arial" w:hAnsi="Arial"/>
          <w:b/>
          <w:bCs/>
          <w:color w:val="1A1A2E"/>
          <w:sz w:val="36"/>
          <w:szCs w:val="36"/>
        </w:rPr>
        <w:t xml:space="preserve">Appendix — Platform Comparison Matrix</w:t>
      </w:r>
    </w:p>
    <w:p>
      <w:pPr>
        <w:spacing w:before="80" w:after="80"/>
      </w:pPr>
      <w:r>
        <w:t xml:space="preserve"/>
      </w:r>
    </w:p>
    <w:p>
      <w:pPr>
        <w:spacing w:before="80" w:after="120"/>
      </w:pPr>
      <w:r>
        <w:rPr>
          <w:rFonts w:ascii="Arial" w:cs="Arial" w:eastAsia="Arial" w:hAnsi="Arial"/>
          <w:color w:val="1A1A2E"/>
          <w:sz w:val="22"/>
          <w:szCs w:val="22"/>
        </w:rPr>
        <w:t xml:space="preserve">Full comparison of link-in-bio and creator platform landscape relevant to Shimokitan's target artist base.</w:t>
      </w:r>
    </w:p>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A.1 Link-in-Bio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234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6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lit.link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JP creators, idols, VTubers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Picture card grid, LINE integration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Linktree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Moderate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Global, Western-first</w:t>
            </w:r>
          </w:p>
        </w:tc>
        <w:tc>
          <w:tcPr>
            <w:tcW w:type="dxa" w:w="2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200+ templates, 40M+ users</w:t>
            </w:r>
          </w:p>
        </w:tc>
      </w:tr>
      <w:tr>
        <w:tc>
          <w:tcPr>
            <w:tcW w:type="dxa" w:w="20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b/>
                <w:bCs/>
                <w:color w:val="1A1A2E"/>
                <w:sz w:val="20"/>
                <w:szCs w:val="20"/>
              </w:rPr>
              <w:t xml:space="preserve">Shimokitan (target)</w:t>
            </w:r>
          </w:p>
        </w:tc>
        <w:tc>
          <w:tcPr>
            <w:tcW w:type="dxa" w:w="234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b w:val="false"/>
                <w:bCs w:val="false"/>
                <w:color w:val="1A1A2E"/>
                <w:sz w:val="20"/>
                <w:szCs w:val="20"/>
              </w:rPr>
              <w:t xml:space="preserve">Terminal-grade</w:t>
            </w:r>
          </w:p>
        </w:tc>
        <w:tc>
          <w:tcPr>
            <w:tcW w:type="dxa" w:w="234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b w:val="false"/>
                <w:bCs w:val="false"/>
                <w:color w:val="1A1A2E"/>
                <w:sz w:val="20"/>
                <w:szCs w:val="20"/>
              </w:rPr>
              <w:t xml:space="preserve">JP/ID underground creators</w:t>
            </w:r>
          </w:p>
        </w:tc>
        <w:tc>
          <w:tcPr>
            <w:tcW w:type="dxa" w:w="268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Residency record, Provenance, Resonance</w:t>
            </w:r>
          </w:p>
        </w:tc>
      </w:tr>
    </w:tbl>
    <w:p>
      <w:pPr>
        <w:spacing w:before="80" w:after="80"/>
      </w:pPr>
      <w:r>
        <w:t xml:space="preserve"/>
      </w:r>
    </w:p>
    <w:p>
      <w:pPr>
        <w:pStyle w:val="Heading2"/>
        <w:pBdr>
          <w:bottom w:val="single" w:color="7B5EA7" w:sz="4" w:space="4"/>
        </w:pBdr>
        <w:spacing w:before="320" w:after="120"/>
      </w:pPr>
      <w:r>
        <w:rPr>
          <w:rFonts w:ascii="Arial" w:cs="Arial" w:eastAsia="Arial" w:hAnsi="Arial"/>
          <w:b/>
          <w:bCs/>
          <w:color w:val="1A1A2E"/>
          <w:sz w:val="26"/>
          <w:szCs w:val="26"/>
        </w:rPr>
        <w:t xml:space="preserve">A.2 Creator Commerce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80"/>
            <w:tcBorders>
              <w:top w:val="single" w:color="CCCCCC" w:sz="1"/>
              <w:left w:val="single" w:color="CCCCCC" w:sz="1"/>
              <w:bottom w:val="single" w:color="CCCCCC" w:sz="1"/>
              <w:right w:val="single" w:color="CCCCCC" w:sz="1"/>
            </w:tcBorders>
            <w:shd w:fill="2D2B55"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BOOTH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Marketplace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Pixiv network effect, physical + digital, social proof purchases</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pixiv FANBOX</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Pixiv audience, fan-friendly back-catalog, international accessible</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Fantia</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Toranoana ecosystem, scarcity model, granular post-level paywalling</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Ci-en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Doujin-adjacent, text-heavy creators, game developers</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Trakteer</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Donation + Shop</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Indonesian market, 5% fee, streamer overlays, traktir cultural framing</w:t>
            </w:r>
          </w:p>
        </w:tc>
      </w:tr>
      <w:tr>
        <w:tc>
          <w:tcPr>
            <w:tcW w:type="dxa" w:w="2200"/>
            <w:tcBorders>
              <w:top w:val="single" w:color="CCCCCC" w:sz="1"/>
              <w:left w:val="single" w:color="CCCCCC" w:sz="1"/>
              <w:bottom w:val="single" w:color="CCCCCC" w:sz="1"/>
              <w:right w:val="single" w:color="CCCCCC" w:sz="1"/>
            </w:tcBorders>
            <w:shd w:fill="F3F0FA" w:val="clear"/>
            <w:tcMar>
              <w:top w:type="dxa" w:w="80"/>
              <w:left w:type="dxa" w:w="120"/>
              <w:bottom w:type="dxa" w:w="80"/>
              <w:right w:type="dxa" w:w="120"/>
            </w:tcMar>
          </w:tcPr>
          <w:p>
            <w:r>
              <w:rPr>
                <w:rFonts w:ascii="Arial" w:cs="Arial" w:eastAsia="Arial" w:hAnsi="Arial"/>
                <w:color w:val="1A1A2E"/>
                <w:sz w:val="20"/>
                <w:szCs w:val="20"/>
              </w:rPr>
              <w:t xml:space="preserve">Ko-fi</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Donation + Shop</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Western equivalent of Trakteer, international but no JP local payments</w:t>
            </w:r>
          </w:p>
        </w:tc>
      </w:tr>
    </w:tbl>
    <w:p>
      <w:pPr>
        <w:spacing w:before="80" w:after="80"/>
      </w:pPr>
      <w:r>
        <w:t xml:space="preserve"/>
      </w:r>
    </w:p>
    <w:p>
      <w:pPr>
        <w:spacing w:before="80" w:after="80"/>
      </w:pPr>
      <w:r>
        <w:t xml:space="preserve"/>
      </w:r>
    </w:p>
    <w:p>
      <w:pPr>
        <w:spacing w:before="400" w:after="80"/>
        <w:jc w:val="center"/>
      </w:pPr>
      <w:r>
        <w:rPr>
          <w:rFonts w:ascii="Courier New" w:cs="Courier New" w:eastAsia="Courier New" w:hAnsi="Courier New"/>
          <w:color w:val="888888"/>
          <w:sz w:val="18"/>
          <w:szCs w:val="18"/>
        </w:rPr>
        <w:t xml:space="preserve">— END OF DOCUMENT —</w:t>
      </w:r>
    </w:p>
    <w:p>
      <w:pPr>
        <w:jc w:val="center"/>
      </w:pPr>
      <w:r>
        <w:rPr>
          <w:rFonts w:ascii="Courier New" w:cs="Courier New" w:eastAsia="Courier New" w:hAnsi="Courier New"/>
          <w:color w:val="7B5EA7"/>
          <w:sz w:val="16"/>
          <w:szCs w:val="16"/>
        </w:rPr>
        <w:t xml:space="preserve">SHIMOKITAN // DIGITAL_DISTRICT // V.2.0.26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888888"/>
        <w:sz w:val="18"/>
        <w:szCs w:val="18"/>
      </w:rPr>
      <w:t xml:space="preserve">SHIMOKITAN // DIGITAL_DISTRICT  |  Page </w:t>
    </w:r>
    <w:r>
      <w:rPr>
        <w:rFonts w:ascii="Courier New" w:cs="Courier New" w:eastAsia="Courier New" w:hAnsi="Courier New"/>
        <w:color w:val="888888"/>
        <w:sz w:val="18"/>
        <w:szCs w:val="18"/>
      </w:rPr>
      <w:fldChar w:fldCharType="begin"/>
      <w:instrText xml:space="preserve">PAGE</w:instrText>
      <w:fldChar w:fldCharType="separate"/>
      <w:fldChar w:fldCharType="end"/>
    </w:r>
    <w:r>
      <w:rPr>
        <w:rFonts w:ascii="Courier New" w:cs="Courier New" w:eastAsia="Courier New" w:hAnsi="Courier New"/>
        <w:color w:val="888888"/>
        <w:sz w:val="18"/>
        <w:szCs w:val="18"/>
      </w:rPr>
      <w:t xml:space="preserve"> of </w:t>
    </w:r>
    <w:r>
      <w:rPr>
        <w:rFonts w:ascii="Courier New" w:cs="Courier New" w:eastAsia="Courier New" w:hAnsi="Courier New"/>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D2B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2026-03-10T09:27:08.931Z</dcterms:created>
  <dcterms:modified xsi:type="dcterms:W3CDTF">2026-03-10T09:27:08.931Z</dcterms:modified>
</cp:coreProperties>
</file>

<file path=docProps/custom.xml><?xml version="1.0" encoding="utf-8"?>
<Properties xmlns="http://schemas.openxmlformats.org/officeDocument/2006/custom-properties" xmlns:vt="http://schemas.openxmlformats.org/officeDocument/2006/docPropsVTypes"/>
</file>