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41CDC" w14:textId="77777777" w:rsidR="003B4B9F" w:rsidRDefault="003B4B9F" w:rsidP="00E025C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</w:t>
      </w:r>
      <w:bookmarkStart w:id="0" w:name="_GoBack"/>
      <w:bookmarkEnd w:id="0"/>
      <w:r>
        <w:rPr>
          <w:b/>
          <w:sz w:val="28"/>
          <w:szCs w:val="28"/>
        </w:rPr>
        <w:t>t Dataset: AA400015</w:t>
      </w:r>
    </w:p>
    <w:p w14:paraId="51E402B5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334735CB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48AAF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D40E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EEDCA7B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7764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56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values.</w:t>
            </w:r>
            <w:proofErr w:type="gramEnd"/>
          </w:p>
        </w:tc>
      </w:tr>
      <w:tr w:rsidR="003B4B9F" w14:paraId="6C68BC44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DC05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26a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22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subfield where the value is not within the range defined in the S-57 format description.</w:t>
            </w:r>
          </w:p>
        </w:tc>
      </w:tr>
      <w:tr w:rsidR="003B4B9F" w14:paraId="7B4228B3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B6B3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40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 field without a repetition factor repeats.</w:t>
            </w:r>
          </w:p>
        </w:tc>
      </w:tr>
      <w:tr w:rsidR="003B4B9F" w14:paraId="42C7011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0662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65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allowed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3B4B9F" w14:paraId="305CBE56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243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540b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A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data set file contains prohibited records, fields or subfields.</w:t>
            </w:r>
          </w:p>
        </w:tc>
      </w:tr>
    </w:tbl>
    <w:p w14:paraId="70FEBA76" w14:textId="77777777" w:rsidR="003B4B9F" w:rsidRDefault="003B4B9F" w:rsidP="003B4B9F">
      <w:pPr>
        <w:pStyle w:val="ListParagraph"/>
        <w:ind w:left="480"/>
        <w:rPr>
          <w:b/>
        </w:rPr>
      </w:pPr>
    </w:p>
    <w:p w14:paraId="77443D2C" w14:textId="77777777" w:rsidR="003B4B9F" w:rsidRDefault="003B4B9F" w:rsidP="003B4B9F">
      <w:pPr>
        <w:pStyle w:val="ListParagraph"/>
        <w:ind w:left="480"/>
        <w:rPr>
          <w:b/>
        </w:rPr>
      </w:pPr>
    </w:p>
    <w:p w14:paraId="0FEBA804" w14:textId="77777777" w:rsidR="003B4B9F" w:rsidRDefault="003B4B9F" w:rsidP="003B4B9F">
      <w:pPr>
        <w:pStyle w:val="ListParagraph"/>
        <w:ind w:left="480"/>
        <w:rPr>
          <w:b/>
        </w:rPr>
      </w:pPr>
    </w:p>
    <w:p w14:paraId="46CA654D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5D9D27D8" w14:textId="06EAF5FC" w:rsidR="00745714" w:rsidRDefault="00745714" w:rsidP="00745714">
      <w:pPr>
        <w:ind w:firstLine="720"/>
      </w:pPr>
      <w:r>
        <w:t xml:space="preserve">Critical – </w:t>
      </w:r>
      <w:r w:rsidR="00593DEB">
        <w:t xml:space="preserve">27, 555, </w:t>
      </w:r>
    </w:p>
    <w:p w14:paraId="710E6062" w14:textId="77777777" w:rsidR="00745714" w:rsidRDefault="00745714" w:rsidP="00745714">
      <w:pPr>
        <w:ind w:firstLine="720"/>
      </w:pPr>
      <w:r>
        <w:t xml:space="preserve">Error – </w:t>
      </w:r>
    </w:p>
    <w:p w14:paraId="4F94846A" w14:textId="77777777" w:rsidR="00745714" w:rsidRDefault="00745714" w:rsidP="00745714">
      <w:pPr>
        <w:ind w:firstLine="720"/>
      </w:pPr>
      <w:r>
        <w:t xml:space="preserve">Warnings – </w:t>
      </w:r>
    </w:p>
    <w:p w14:paraId="568A8C1B" w14:textId="421904B9" w:rsidR="003B4B9F" w:rsidRDefault="00745714" w:rsidP="00745714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879"/>
        <w:gridCol w:w="563"/>
        <w:gridCol w:w="728"/>
        <w:gridCol w:w="22"/>
        <w:gridCol w:w="654"/>
      </w:tblGrid>
      <w:tr w:rsidR="003B4B9F" w14:paraId="56D2301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D431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75F4D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13F41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ADE6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472C6F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475D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E42DFBB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B4D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271AF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values.</w:t>
            </w:r>
            <w:proofErr w:type="gramEnd"/>
          </w:p>
        </w:tc>
      </w:tr>
      <w:tr w:rsidR="003B4B9F" w14:paraId="00CA0978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DECF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C8860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SOUNDG does not reference a SG3D field.</w:t>
            </w:r>
          </w:p>
        </w:tc>
      </w:tr>
      <w:tr w:rsidR="003B4B9F" w14:paraId="2DF813F7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9F5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A86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type or values for SOUNDG.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7E50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AEE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(5.1.4.1)</w:t>
            </w:r>
          </w:p>
        </w:tc>
      </w:tr>
      <w:tr w:rsidR="003B4B9F" w14:paraId="1471D1A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2B2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2CE5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SG3D to SG2D for SOUNDG feature.</w:t>
            </w:r>
          </w:p>
        </w:tc>
      </w:tr>
      <w:tr w:rsidR="00481B93" w14:paraId="78C76DDD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8478" w14:textId="263CB1C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DE44" w14:textId="017D7E82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950A" w14:textId="466AF8D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A5A2" w14:textId="10D887F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FB37" w14:textId="5DE45DA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2D10" w14:textId="1CE9AA7C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C3D78" w14:paraId="5C309C8F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0C1ED" w14:textId="749B9A61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783E" w14:textId="23C2BF2E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9F8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F3F" w14:textId="6B89AFCC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DAF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35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60CB0A90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441F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476B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32°33'34.53"S 61°11'40.74"E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AB188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9759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19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0EAC2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0D308248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11A5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C684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FE-000048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47A0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0A00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7998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149FD13C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2B14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3E8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9062C5E" w14:textId="70B95CC1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CE0C08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546E597" w14:textId="12285519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BE2B6E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390C9E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73793EA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AA49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82A3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24: An error “</w:t>
            </w:r>
            <w:r>
              <w:rPr>
                <w:rFonts w:ascii="Calibri" w:hAnsi="Calibri" w:cs="Calibri"/>
                <w:sz w:val="20"/>
                <w:szCs w:val="20"/>
              </w:rPr>
              <w:t>SOUNDG does not reference a SG3D field.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4C3D78" w14:paraId="37C26A0F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5540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45AD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20: An error “Geometric primitive of this type is not permitted for this object class”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14:paraId="562DD7F3" w14:textId="77777777" w:rsidR="004C3D78" w:rsidRDefault="004C3D78" w:rsidP="004C3D78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21: An error “orphan which is the edge is dose not point to end node” must be triggered.</w:t>
            </w:r>
          </w:p>
        </w:tc>
      </w:tr>
      <w:tr w:rsidR="004C3D78" w14:paraId="12A73DC4" w14:textId="77777777" w:rsidTr="0046634C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97B1" w14:textId="77777777" w:rsidR="004C3D78" w:rsidRDefault="004C3D78" w:rsidP="004C3D78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4C3D78" w14:paraId="160CC7AC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F9413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480A5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BC07A67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24850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E0F4B0F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BF542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C3D78" w14:paraId="75C2E3D1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4C0F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C89E4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subfield where the value is not within the range defined in the S-57 format description.</w:t>
            </w:r>
          </w:p>
        </w:tc>
      </w:tr>
      <w:tr w:rsidR="004C3D78" w14:paraId="49F9D6E1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AC0A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ADF76D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Subfield value does not conform to S-57 format specification.</w:t>
            </w:r>
          </w:p>
        </w:tc>
      </w:tr>
      <w:tr w:rsidR="004C3D78" w14:paraId="59C2081C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55E1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8595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subfield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88ADE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430D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(7.2.2.1) and (7.3)</w:t>
            </w:r>
          </w:p>
        </w:tc>
      </w:tr>
      <w:tr w:rsidR="004C3D78" w14:paraId="0C3F6BA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BE04E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CDABA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RUIN subfield in VRID</w:t>
            </w:r>
          </w:p>
        </w:tc>
      </w:tr>
      <w:tr w:rsidR="004C3D78" w14:paraId="1FB6C024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54B79" w14:textId="359F0252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39AD" w14:textId="3028C581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57B9" w14:textId="272DA4CE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1EB0" w14:textId="1D183C7E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0E8A" w14:textId="45D57674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EFA1" w14:textId="292E2153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C3D78" w14:paraId="535AD8BB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DD56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331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4B92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20F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AF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A65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2A14BAD3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0D54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3042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3DDBC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E2F4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9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1A5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10BA31C4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FF91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 or VRID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4737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VE-0000000016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D952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6F0C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F37B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266E54B0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3F97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5BB6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39409F" wp14:editId="2D70C823">
                  <wp:extent cx="5133975" cy="742950"/>
                  <wp:effectExtent l="0" t="0" r="9525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02ECE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464FB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BABF47" wp14:editId="4948FB75">
                  <wp:extent cx="5143500" cy="733425"/>
                  <wp:effectExtent l="0" t="0" r="0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78" w14:paraId="49A8964D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3B8E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9756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4C3D78" w14:paraId="45B81D85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AEB2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D0A12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4C3D78" w14:paraId="212A82A3" w14:textId="77777777" w:rsidTr="0046634C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4E02" w14:textId="77777777" w:rsidR="004C3D78" w:rsidRDefault="004C3D78" w:rsidP="004C3D7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7D9489CE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E26DD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9DE8D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FFB5302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AC3CB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5A1C273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D6F5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C3D78" w14:paraId="65CA4864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7AF0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837271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field without a repetition factor repeats.</w:t>
            </w:r>
          </w:p>
        </w:tc>
      </w:tr>
      <w:tr w:rsidR="004C3D78" w14:paraId="7BE91806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218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3B4C4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repeats.</w:t>
            </w:r>
          </w:p>
        </w:tc>
      </w:tr>
      <w:tr w:rsidR="004C3D78" w14:paraId="40AE1FA3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BAA2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B32F8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repeating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F32A8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7135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6.1.3</w:t>
            </w:r>
          </w:p>
        </w:tc>
      </w:tr>
      <w:tr w:rsidR="004C3D78" w14:paraId="39A17686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00960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88F81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Repeated the DSPM field records.</w:t>
            </w:r>
          </w:p>
        </w:tc>
      </w:tr>
      <w:tr w:rsidR="004C3D78" w14:paraId="72DDF334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4CBD4" w14:textId="44889A54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3BFC" w14:textId="47955CA9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26B0" w14:textId="4810988F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6F666" w14:textId="3FB985A2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4CF9" w14:textId="4B486FF8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F3C8" w14:textId="34FC47F3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C3D78" w14:paraId="2EAA54F2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54F7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FA8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B72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564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968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017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1DCBC688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CBE2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6F4D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AE74B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8124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1BBB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5B3E3C3E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C21D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A945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A7F29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D3DE8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CCA6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48E179CE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9FA6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8202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FE38A3A" wp14:editId="273A9AEE">
                  <wp:extent cx="5133975" cy="857250"/>
                  <wp:effectExtent l="0" t="0" r="9525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55C3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090909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56575C" wp14:editId="21620F0F">
                  <wp:extent cx="5133975" cy="828675"/>
                  <wp:effectExtent l="0" t="0" r="9525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07B13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3268C4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4C3D78" w14:paraId="0D98779B" w14:textId="77777777" w:rsidTr="00481B93">
        <w:trPr>
          <w:trHeight w:val="71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ABC2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05E8F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4C3D78" w14:paraId="32050EE4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3F4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4D1E5" w14:textId="77777777" w:rsidR="004C3D78" w:rsidRDefault="004C3D78" w:rsidP="004C3D7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  <w:tr w:rsidR="004C3D78" w14:paraId="66FBDC7E" w14:textId="77777777" w:rsidTr="0046634C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0C5C" w14:textId="77777777" w:rsidR="004C3D78" w:rsidRDefault="004C3D78" w:rsidP="004C3D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3D78" w14:paraId="60785E95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46BB0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81823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66D31D3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1D4E2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4D3572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081E1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C3D78" w14:paraId="35024378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1535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7823CC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allowed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4C3D78" w14:paraId="4275243D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31DE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FEC91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used.</w:t>
            </w:r>
          </w:p>
        </w:tc>
      </w:tr>
      <w:tr w:rsidR="004C3D78" w14:paraId="3DE8086E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C0A6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908B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mandatory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0E7EA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DF11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6.1.4, 6.3 and 6.4</w:t>
            </w:r>
          </w:p>
        </w:tc>
      </w:tr>
      <w:tr w:rsidR="004C3D78" w14:paraId="418941F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998399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FE6BA6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Removed XCOO subfield</w:t>
            </w:r>
          </w:p>
        </w:tc>
      </w:tr>
      <w:tr w:rsidR="004C3D78" w14:paraId="705DAEFA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E5468" w14:textId="3A8250B8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BFB3" w14:textId="345F727E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FD10" w14:textId="4CB828D5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09C8" w14:textId="50036425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5A0" w14:textId="2D25C771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2F04" w14:textId="1D611863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C3D78" w14:paraId="06F0DB4D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D68C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425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3DCE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C9C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84C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839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65E155AB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40D4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D216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71507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E989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AE8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1D709B3A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07F3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DA27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DC91A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8D49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19A1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174069A2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FCF2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9A3F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77D3198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9E8737D" wp14:editId="75A34F5C">
                  <wp:extent cx="5143500" cy="7239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867F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408CFC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286B2B" wp14:editId="4AA41614">
                  <wp:extent cx="5133975" cy="657225"/>
                  <wp:effectExtent l="0" t="0" r="9525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01182B4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14E82282" w14:textId="77777777" w:rsidTr="00481B93">
        <w:trPr>
          <w:trHeight w:val="71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1197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80C7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4C3D78" w14:paraId="3168663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086A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A269E" w14:textId="77777777" w:rsidR="004C3D78" w:rsidRDefault="004C3D78" w:rsidP="004C3D7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  <w:tr w:rsidR="004C3D78" w14:paraId="027BC313" w14:textId="77777777" w:rsidTr="0046634C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E981" w14:textId="77777777" w:rsidR="004C3D78" w:rsidRDefault="004C3D78" w:rsidP="004C3D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3D78" w14:paraId="4DBA4865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F74EC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95D57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12B881B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1450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79219DA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F680D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C3D78" w14:paraId="56270310" w14:textId="77777777" w:rsidTr="00481B93">
        <w:trPr>
          <w:trHeight w:val="52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827A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9701A5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data set file contains prohibited records, fields or subfields.</w:t>
            </w:r>
          </w:p>
        </w:tc>
      </w:tr>
      <w:tr w:rsidR="004C3D78" w14:paraId="6AA0A0FB" w14:textId="77777777" w:rsidTr="00481B93">
        <w:trPr>
          <w:trHeight w:val="42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D5AC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802F3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used.</w:t>
            </w:r>
          </w:p>
        </w:tc>
      </w:tr>
      <w:tr w:rsidR="004C3D78" w14:paraId="1DC3F8E1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CA00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3835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23178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0770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</w:t>
            </w:r>
          </w:p>
        </w:tc>
      </w:tr>
      <w:tr w:rsidR="004C3D78" w14:paraId="6E41C2F1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2F95C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92869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text for prohibited subfield “PSDN”.</w:t>
            </w:r>
          </w:p>
        </w:tc>
      </w:tr>
      <w:tr w:rsidR="004C3D78" w14:paraId="3BC67D78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9B5FF" w14:textId="5E8CB5AA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BE5F" w14:textId="5722180B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F07F9" w14:textId="52013D4E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9D8B" w14:textId="1499B4FA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BF47" w14:textId="67C093EA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C1FB" w14:textId="61F76194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C3D78" w14:paraId="7FA76E27" w14:textId="77777777" w:rsidTr="00413753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95B6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A807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DDD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B3D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A7FB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36B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224FB3BA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08CF6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CAB7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B8019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E26E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86F3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31576D0B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EAE20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AED5F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136FE" w14:textId="77777777" w:rsidR="004C3D78" w:rsidRDefault="004C3D78" w:rsidP="004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7942D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C5D64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354BC9A1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EFCD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58BC9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574057CA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EFE5B8" wp14:editId="754C7F42">
                  <wp:extent cx="5133975" cy="914400"/>
                  <wp:effectExtent l="0" t="0" r="9525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4D2F2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ECD83B3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2BB08C1" wp14:editId="2C4B9EAB">
                  <wp:extent cx="5133975" cy="971550"/>
                  <wp:effectExtent l="0" t="0" r="9525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3D42588C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3D78" w14:paraId="2CE43AC9" w14:textId="77777777" w:rsidTr="00481B93">
        <w:trPr>
          <w:trHeight w:val="45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2E601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E76E7" w14:textId="77777777" w:rsidR="004C3D78" w:rsidRDefault="004C3D78" w:rsidP="004C3D7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4C3D78" w14:paraId="3D37AF65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FF3B5" w14:textId="77777777" w:rsidR="004C3D78" w:rsidRDefault="004C3D78" w:rsidP="004C3D7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5338E" w14:textId="77777777" w:rsidR="004C3D78" w:rsidRDefault="004C3D78" w:rsidP="004C3D7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</w:tbl>
    <w:p w14:paraId="1C50833F" w14:textId="30755425" w:rsidR="00745714" w:rsidRDefault="00745714" w:rsidP="003B4B9F">
      <w:pPr>
        <w:rPr>
          <w:b/>
        </w:rPr>
      </w:pPr>
    </w:p>
    <w:sectPr w:rsidR="00745714" w:rsidSect="00E8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806E9C60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95B6D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6634C"/>
    <w:rsid w:val="00471F59"/>
    <w:rsid w:val="00481B93"/>
    <w:rsid w:val="004B2A19"/>
    <w:rsid w:val="004C3D78"/>
    <w:rsid w:val="0053073C"/>
    <w:rsid w:val="00593DEB"/>
    <w:rsid w:val="005D00E5"/>
    <w:rsid w:val="005E3C48"/>
    <w:rsid w:val="005F2BDD"/>
    <w:rsid w:val="00641F8B"/>
    <w:rsid w:val="00660407"/>
    <w:rsid w:val="006A26E8"/>
    <w:rsid w:val="007347A2"/>
    <w:rsid w:val="00745714"/>
    <w:rsid w:val="007C4098"/>
    <w:rsid w:val="007E50AE"/>
    <w:rsid w:val="008038F0"/>
    <w:rsid w:val="008135F9"/>
    <w:rsid w:val="00857596"/>
    <w:rsid w:val="0086328A"/>
    <w:rsid w:val="008735E1"/>
    <w:rsid w:val="0090784C"/>
    <w:rsid w:val="00920BB0"/>
    <w:rsid w:val="009E6BE0"/>
    <w:rsid w:val="009F022C"/>
    <w:rsid w:val="00A01254"/>
    <w:rsid w:val="00AB33A8"/>
    <w:rsid w:val="00B510FE"/>
    <w:rsid w:val="00B803EB"/>
    <w:rsid w:val="00BE626C"/>
    <w:rsid w:val="00C72A66"/>
    <w:rsid w:val="00CA266F"/>
    <w:rsid w:val="00CB7547"/>
    <w:rsid w:val="00D121D4"/>
    <w:rsid w:val="00D21B6A"/>
    <w:rsid w:val="00D2579D"/>
    <w:rsid w:val="00D476BD"/>
    <w:rsid w:val="00D47BCF"/>
    <w:rsid w:val="00D52BB2"/>
    <w:rsid w:val="00D61D46"/>
    <w:rsid w:val="00DF767F"/>
    <w:rsid w:val="00E025CF"/>
    <w:rsid w:val="00E85F5B"/>
    <w:rsid w:val="00EB1EC8"/>
    <w:rsid w:val="00EC61B3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2019-02-06T15:03:00Z</dcterms:created>
  <dcterms:modified xsi:type="dcterms:W3CDTF">2019-02-22T10:01:00Z</dcterms:modified>
</cp:coreProperties>
</file>