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4"/>
        </w:rPr>
        <w:t>ARIA v4.3 — Progress Report</w:t>
      </w:r>
    </w:p>
    <w:p>
      <w:pPr>
        <w:jc w:val="center"/>
      </w:pPr>
      <w:r>
        <w:rPr>
          <w:color w:val="555555"/>
          <w:sz w:val="24"/>
        </w:rPr>
        <w:t>Adaptive Real-time Intelligence Architecture</w:t>
      </w:r>
    </w:p>
    <w:p>
      <w:pPr>
        <w:spacing w:after="200"/>
        <w:jc w:val="center"/>
      </w:pPr>
      <w:r>
        <w:rPr>
          <w:color w:val="555555"/>
          <w:sz w:val="20"/>
        </w:rPr>
        <w:t>Leap of Faith Technologies  |  IIT CS 595  |  Spring 2026</w:t>
        <w:br/>
        <w:t>Team: Krishna Patel, Kush Patel, Sahil Khalsa, Nesh Rochwani, Prakriti Sharma, Yash Sharma</w:t>
        <w:br/>
        <w:t>Date: April 14, 2026</w:t>
      </w:r>
    </w:p>
    <w:p>
      <w:pPr>
        <w:spacing w:before="80" w:after="80"/>
        <w:pBdr>
          <w:bottom w:val="single" w:sz="6" w:space="1" w:color="BBBBBB"/>
        </w:pBdr>
      </w:pPr>
    </w:p>
    <w:p>
      <w:pPr>
        <w:spacing w:before="280" w:after="80"/>
      </w:pPr>
      <w:r>
        <w:rPr>
          <w:b/>
          <w:color w:val="1A56DB"/>
          <w:sz w:val="36"/>
        </w:rPr>
        <w:t>1. Overall Status: ~62% Complete</w:t>
      </w:r>
    </w:p>
    <w:p>
      <w:pPr>
        <w:spacing w:after="80"/>
      </w:pPr>
      <w:r>
        <w:rPr>
          <w:sz w:val="21"/>
        </w:rPr>
        <w:t>The data backbone is fully operational. The FHIR ingestion pipeline, synthetic data generators, deterministic briefing engine, and background job infrastructure are all complete and tested. The critical gaps remaining are the pattern/scoring engine (Layer 1 &amp; 2), the HTTP API layer, and the entire frontend.</w:t>
      </w:r>
    </w:p>
    <w:tbl>
      <w:tblPr>
        <w:tblStyle w:val="TableGrid"/>
        <w:tblW w:type="auto" w:w="0"/>
        <w:jc w:val="left"/>
        <w:tblLook w:firstColumn="1" w:firstRow="1" w:lastColumn="0" w:lastRow="0" w:noHBand="0" w:noVBand="1" w:val="04A0"/>
      </w:tblPr>
      <w:tblGrid>
        <w:gridCol w:w="2928"/>
        <w:gridCol w:w="2928"/>
        <w:gridCol w:w="2928"/>
      </w:tblGrid>
      <w:tr>
        <w:tc>
          <w:tcPr>
            <w:tcW w:type="dxa" w:w="4608"/>
            <w:shd w:val="clear" w:color="auto" w:fill="1A56DB"/>
          </w:tcPr>
          <w:p>
            <w:r>
              <w:rPr>
                <w:b/>
                <w:color w:val="FFFFFF"/>
                <w:sz w:val="19"/>
              </w:rPr>
              <w:t>Subsystem</w:t>
            </w:r>
          </w:p>
        </w:tc>
        <w:tc>
          <w:tcPr>
            <w:tcW w:type="dxa" w:w="2592"/>
            <w:shd w:val="clear" w:color="auto" w:fill="1A56DB"/>
          </w:tcPr>
          <w:p>
            <w:r>
              <w:rPr>
                <w:b/>
                <w:color w:val="FFFFFF"/>
                <w:sz w:val="19"/>
              </w:rPr>
              <w:t>Status</w:t>
            </w:r>
          </w:p>
        </w:tc>
        <w:tc>
          <w:tcPr>
            <w:tcW w:type="dxa" w:w="1728"/>
            <w:shd w:val="clear" w:color="auto" w:fill="1A56DB"/>
          </w:tcPr>
          <w:p>
            <w:r>
              <w:rPr>
                <w:b/>
                <w:color w:val="FFFFFF"/>
                <w:sz w:val="19"/>
              </w:rPr>
              <w:t>Completion</w:t>
            </w:r>
          </w:p>
        </w:tc>
      </w:tr>
      <w:tr>
        <w:tc>
          <w:tcPr>
            <w:tcW w:type="dxa" w:w="4608"/>
          </w:tcPr>
          <w:p>
            <w:r>
              <w:rPr>
                <w:sz w:val="19"/>
              </w:rPr>
              <w:t>Database &amp; Schema</w:t>
            </w:r>
          </w:p>
        </w:tc>
        <w:tc>
          <w:tcPr>
            <w:tcW w:type="dxa" w:w="2592"/>
          </w:tcPr>
          <w:p>
            <w:r>
              <w:rPr>
                <w:sz w:val="19"/>
              </w:rPr>
              <w:t>COMPLETE</w:t>
            </w:r>
          </w:p>
        </w:tc>
        <w:tc>
          <w:tcPr>
            <w:tcW w:type="dxa" w:w="1728"/>
          </w:tcPr>
          <w:p>
            <w:r>
              <w:rPr>
                <w:sz w:val="19"/>
              </w:rPr>
              <w:t>100%</w:t>
            </w:r>
          </w:p>
        </w:tc>
      </w:tr>
      <w:tr>
        <w:tc>
          <w:tcPr>
            <w:tcW w:type="dxa" w:w="4608"/>
            <w:shd w:val="clear" w:color="auto" w:fill="EBF5FB"/>
          </w:tcPr>
          <w:p>
            <w:r>
              <w:rPr>
                <w:sz w:val="19"/>
              </w:rPr>
              <w:t>EHR Ingestion (iEMR → FHIR → DB)</w:t>
            </w:r>
          </w:p>
        </w:tc>
        <w:tc>
          <w:tcPr>
            <w:tcW w:type="dxa" w:w="2592"/>
            <w:shd w:val="clear" w:color="auto" w:fill="EBF5FB"/>
          </w:tcPr>
          <w:p>
            <w:r>
              <w:rPr>
                <w:sz w:val="19"/>
              </w:rPr>
              <w:t>COMPLETE</w:t>
            </w:r>
          </w:p>
        </w:tc>
        <w:tc>
          <w:tcPr>
            <w:tcW w:type="dxa" w:w="1728"/>
            <w:shd w:val="clear" w:color="auto" w:fill="EBF5FB"/>
          </w:tcPr>
          <w:p>
            <w:r>
              <w:rPr>
                <w:sz w:val="19"/>
              </w:rPr>
              <w:t>100%</w:t>
            </w:r>
          </w:p>
        </w:tc>
      </w:tr>
      <w:tr>
        <w:tc>
          <w:tcPr>
            <w:tcW w:type="dxa" w:w="4608"/>
          </w:tcPr>
          <w:p>
            <w:r>
              <w:rPr>
                <w:sz w:val="19"/>
              </w:rPr>
              <w:t>Synthetic Data Generation</w:t>
            </w:r>
          </w:p>
        </w:tc>
        <w:tc>
          <w:tcPr>
            <w:tcW w:type="dxa" w:w="2592"/>
          </w:tcPr>
          <w:p>
            <w:r>
              <w:rPr>
                <w:sz w:val="19"/>
              </w:rPr>
              <w:t>COMPLETE</w:t>
            </w:r>
          </w:p>
        </w:tc>
        <w:tc>
          <w:tcPr>
            <w:tcW w:type="dxa" w:w="1728"/>
          </w:tcPr>
          <w:p>
            <w:r>
              <w:rPr>
                <w:sz w:val="19"/>
              </w:rPr>
              <w:t>100%</w:t>
            </w:r>
          </w:p>
        </w:tc>
      </w:tr>
      <w:tr>
        <w:tc>
          <w:tcPr>
            <w:tcW w:type="dxa" w:w="4608"/>
            <w:shd w:val="clear" w:color="auto" w:fill="EBF5FB"/>
          </w:tcPr>
          <w:p>
            <w:r>
              <w:rPr>
                <w:sz w:val="19"/>
              </w:rPr>
              <w:t>Briefing Engine (Layer 1 + 3)</w:t>
            </w:r>
          </w:p>
        </w:tc>
        <w:tc>
          <w:tcPr>
            <w:tcW w:type="dxa" w:w="2592"/>
            <w:shd w:val="clear" w:color="auto" w:fill="EBF5FB"/>
          </w:tcPr>
          <w:p>
            <w:r>
              <w:rPr>
                <w:sz w:val="19"/>
              </w:rPr>
              <w:t>COMPLETE</w:t>
            </w:r>
          </w:p>
        </w:tc>
        <w:tc>
          <w:tcPr>
            <w:tcW w:type="dxa" w:w="1728"/>
            <w:shd w:val="clear" w:color="auto" w:fill="EBF5FB"/>
          </w:tcPr>
          <w:p>
            <w:r>
              <w:rPr>
                <w:sz w:val="19"/>
              </w:rPr>
              <w:t>100%</w:t>
            </w:r>
          </w:p>
        </w:tc>
      </w:tr>
      <w:tr>
        <w:tc>
          <w:tcPr>
            <w:tcW w:type="dxa" w:w="4608"/>
          </w:tcPr>
          <w:p>
            <w:r>
              <w:rPr>
                <w:sz w:val="19"/>
              </w:rPr>
              <w:t>Background Worker &amp; Scheduler</w:t>
            </w:r>
          </w:p>
        </w:tc>
        <w:tc>
          <w:tcPr>
            <w:tcW w:type="dxa" w:w="2592"/>
          </w:tcPr>
          <w:p>
            <w:r>
              <w:rPr>
                <w:sz w:val="19"/>
              </w:rPr>
              <w:t>COMPLETE</w:t>
            </w:r>
          </w:p>
        </w:tc>
        <w:tc>
          <w:tcPr>
            <w:tcW w:type="dxa" w:w="1728"/>
          </w:tcPr>
          <w:p>
            <w:r>
              <w:rPr>
                <w:sz w:val="19"/>
              </w:rPr>
              <w:t>100%</w:t>
            </w:r>
          </w:p>
        </w:tc>
      </w:tr>
      <w:tr>
        <w:tc>
          <w:tcPr>
            <w:tcW w:type="dxa" w:w="4608"/>
            <w:shd w:val="clear" w:color="auto" w:fill="EBF5FB"/>
          </w:tcPr>
          <w:p>
            <w:r>
              <w:rPr>
                <w:sz w:val="19"/>
              </w:rPr>
              <w:t>Test Suite (all built modules)</w:t>
            </w:r>
          </w:p>
        </w:tc>
        <w:tc>
          <w:tcPr>
            <w:tcW w:type="dxa" w:w="2592"/>
            <w:shd w:val="clear" w:color="auto" w:fill="EBF5FB"/>
          </w:tcPr>
          <w:p>
            <w:r>
              <w:rPr>
                <w:sz w:val="19"/>
              </w:rPr>
              <w:t>185+ passing</w:t>
            </w:r>
          </w:p>
        </w:tc>
        <w:tc>
          <w:tcPr>
            <w:tcW w:type="dxa" w:w="1728"/>
            <w:shd w:val="clear" w:color="auto" w:fill="EBF5FB"/>
          </w:tcPr>
          <w:p>
            <w:r>
              <w:rPr>
                <w:sz w:val="19"/>
              </w:rPr>
              <w:t>100%</w:t>
            </w:r>
          </w:p>
        </w:tc>
      </w:tr>
      <w:tr>
        <w:tc>
          <w:tcPr>
            <w:tcW w:type="dxa" w:w="4608"/>
          </w:tcPr>
          <w:p>
            <w:r>
              <w:rPr>
                <w:sz w:val="19"/>
              </w:rPr>
              <w:t>Pattern Engine (Layer 1 + 2)</w:t>
            </w:r>
          </w:p>
        </w:tc>
        <w:tc>
          <w:tcPr>
            <w:tcW w:type="dxa" w:w="2592"/>
          </w:tcPr>
          <w:p>
            <w:r>
              <w:rPr>
                <w:sz w:val="19"/>
              </w:rPr>
              <w:t>NOT STARTED</w:t>
            </w:r>
          </w:p>
        </w:tc>
        <w:tc>
          <w:tcPr>
            <w:tcW w:type="dxa" w:w="1728"/>
          </w:tcPr>
          <w:p>
            <w:r>
              <w:rPr>
                <w:sz w:val="19"/>
              </w:rPr>
              <w:t>0%</w:t>
            </w:r>
          </w:p>
        </w:tc>
      </w:tr>
      <w:tr>
        <w:tc>
          <w:tcPr>
            <w:tcW w:type="dxa" w:w="4608"/>
            <w:shd w:val="clear" w:color="auto" w:fill="EBF5FB"/>
          </w:tcPr>
          <w:p>
            <w:r>
              <w:rPr>
                <w:sz w:val="19"/>
              </w:rPr>
              <w:t>API Layer</w:t>
            </w:r>
          </w:p>
        </w:tc>
        <w:tc>
          <w:tcPr>
            <w:tcW w:type="dxa" w:w="2592"/>
            <w:shd w:val="clear" w:color="auto" w:fill="EBF5FB"/>
          </w:tcPr>
          <w:p>
            <w:r>
              <w:rPr>
                <w:sz w:val="19"/>
              </w:rPr>
              <w:t>NOT STARTED</w:t>
            </w:r>
          </w:p>
        </w:tc>
        <w:tc>
          <w:tcPr>
            <w:tcW w:type="dxa" w:w="1728"/>
            <w:shd w:val="clear" w:color="auto" w:fill="EBF5FB"/>
          </w:tcPr>
          <w:p>
            <w:r>
              <w:rPr>
                <w:sz w:val="19"/>
              </w:rPr>
              <w:t>0%</w:t>
            </w:r>
          </w:p>
        </w:tc>
      </w:tr>
      <w:tr>
        <w:tc>
          <w:tcPr>
            <w:tcW w:type="dxa" w:w="4608"/>
          </w:tcPr>
          <w:p>
            <w:r>
              <w:rPr>
                <w:sz w:val="19"/>
              </w:rPr>
              <w:t>Frontend / Clinician UI</w:t>
            </w:r>
          </w:p>
        </w:tc>
        <w:tc>
          <w:tcPr>
            <w:tcW w:type="dxa" w:w="2592"/>
          </w:tcPr>
          <w:p>
            <w:r>
              <w:rPr>
                <w:sz w:val="19"/>
              </w:rPr>
              <w:t>NOT STARTED</w:t>
            </w:r>
          </w:p>
        </w:tc>
        <w:tc>
          <w:tcPr>
            <w:tcW w:type="dxa" w:w="1728"/>
          </w:tcPr>
          <w:p>
            <w:r>
              <w:rPr>
                <w:sz w:val="19"/>
              </w:rPr>
              <w:t>0%</w:t>
            </w:r>
          </w:p>
        </w:tc>
      </w:tr>
    </w:tbl>
    <w:p/>
    <w:p>
      <w:pPr>
        <w:spacing w:before="80" w:after="80"/>
        <w:pBdr>
          <w:bottom w:val="single" w:sz="6" w:space="1" w:color="BBBBBB"/>
        </w:pBdr>
      </w:pPr>
    </w:p>
    <w:p>
      <w:pPr>
        <w:spacing w:before="280" w:after="80"/>
      </w:pPr>
      <w:r>
        <w:rPr>
          <w:b/>
          <w:color w:val="1A56DB"/>
          <w:sz w:val="36"/>
        </w:rPr>
        <w:t>2. What's Done</w:t>
      </w:r>
    </w:p>
    <w:p>
      <w:pPr>
        <w:spacing w:before="200" w:after="40"/>
      </w:pPr>
      <w:r>
        <w:rPr>
          <w:b/>
          <w:color w:val="1E3A5F"/>
          <w:sz w:val="26"/>
        </w:rPr>
        <w:t>2.1  Database Schema</w:t>
      </w:r>
    </w:p>
    <w:p>
      <w:pPr>
        <w:spacing w:after="80"/>
      </w:pPr>
      <w:r>
        <w:rPr>
          <w:sz w:val="21"/>
        </w:rPr>
        <w:t>All 8 database tables are fully defined, schema-ready, and deployed to Supabase (PostgreSQL). All required indexes are in place.</w:t>
      </w:r>
    </w:p>
    <w:tbl>
      <w:tblPr>
        <w:tblStyle w:val="TableGrid"/>
        <w:tblW w:type="auto" w:w="0"/>
        <w:jc w:val="left"/>
        <w:tblLook w:firstColumn="1" w:firstRow="1" w:lastColumn="0" w:lastRow="0" w:noHBand="0" w:noVBand="1" w:val="04A0"/>
      </w:tblPr>
      <w:tblGrid>
        <w:gridCol w:w="4392"/>
        <w:gridCol w:w="4392"/>
      </w:tblGrid>
      <w:tr>
        <w:tc>
          <w:tcPr>
            <w:tcW w:type="dxa" w:w="3168"/>
            <w:shd w:val="clear" w:color="auto" w:fill="1A56DB"/>
          </w:tcPr>
          <w:p>
            <w:r>
              <w:rPr>
                <w:b/>
                <w:color w:val="FFFFFF"/>
                <w:sz w:val="19"/>
              </w:rPr>
              <w:t>Table</w:t>
            </w:r>
          </w:p>
        </w:tc>
        <w:tc>
          <w:tcPr>
            <w:tcW w:type="dxa" w:w="5760"/>
            <w:shd w:val="clear" w:color="auto" w:fill="1A56DB"/>
          </w:tcPr>
          <w:p>
            <w:r>
              <w:rPr>
                <w:b/>
                <w:color w:val="FFFFFF"/>
                <w:sz w:val="19"/>
              </w:rPr>
              <w:t>Purpose</w:t>
            </w:r>
          </w:p>
        </w:tc>
      </w:tr>
      <w:tr>
        <w:tc>
          <w:tcPr>
            <w:tcW w:type="dxa" w:w="3168"/>
          </w:tcPr>
          <w:p>
            <w:r>
              <w:rPr>
                <w:sz w:val="19"/>
              </w:rPr>
              <w:t>patients</w:t>
            </w:r>
          </w:p>
        </w:tc>
        <w:tc>
          <w:tcPr>
            <w:tcW w:type="dxa" w:w="5760"/>
          </w:tcPr>
          <w:p>
            <w:r>
              <w:rPr>
                <w:sz w:val="19"/>
              </w:rPr>
              <w:t>Core patient record — risk tier, risk score, appointment date</w:t>
            </w:r>
          </w:p>
        </w:tc>
      </w:tr>
      <w:tr>
        <w:tc>
          <w:tcPr>
            <w:tcW w:type="dxa" w:w="3168"/>
            <w:shd w:val="clear" w:color="auto" w:fill="EBF5FB"/>
          </w:tcPr>
          <w:p>
            <w:r>
              <w:rPr>
                <w:sz w:val="19"/>
              </w:rPr>
              <w:t>readings</w:t>
            </w:r>
          </w:p>
        </w:tc>
        <w:tc>
          <w:tcPr>
            <w:tcW w:type="dxa" w:w="5760"/>
            <w:shd w:val="clear" w:color="auto" w:fill="EBF5FB"/>
          </w:tcPr>
          <w:p>
            <w:r>
              <w:rPr>
                <w:sz w:val="19"/>
              </w:rPr>
              <w:t>Home BP readings and clinic observations</w:t>
            </w:r>
          </w:p>
        </w:tc>
      </w:tr>
      <w:tr>
        <w:tc>
          <w:tcPr>
            <w:tcW w:type="dxa" w:w="3168"/>
          </w:tcPr>
          <w:p>
            <w:r>
              <w:rPr>
                <w:sz w:val="19"/>
              </w:rPr>
              <w:t>clinical_context</w:t>
            </w:r>
          </w:p>
        </w:tc>
        <w:tc>
          <w:tcPr>
            <w:tcW w:type="dxa" w:w="5760"/>
          </w:tcPr>
          <w:p>
            <w:r>
              <w:rPr>
                <w:sz w:val="19"/>
              </w:rPr>
              <w:t>Pre-computed EHR summary — meds, problems, labs, clinic BPs</w:t>
            </w:r>
          </w:p>
        </w:tc>
      </w:tr>
      <w:tr>
        <w:tc>
          <w:tcPr>
            <w:tcW w:type="dxa" w:w="3168"/>
            <w:shd w:val="clear" w:color="auto" w:fill="EBF5FB"/>
          </w:tcPr>
          <w:p>
            <w:r>
              <w:rPr>
                <w:sz w:val="19"/>
              </w:rPr>
              <w:t>medication_confirmations</w:t>
            </w:r>
          </w:p>
        </w:tc>
        <w:tc>
          <w:tcPr>
            <w:tcW w:type="dxa" w:w="5760"/>
            <w:shd w:val="clear" w:color="auto" w:fill="EBF5FB"/>
          </w:tcPr>
          <w:p>
            <w:r>
              <w:rPr>
                <w:sz w:val="19"/>
              </w:rPr>
              <w:t>Dose tracking — confirmed or missed per scheduled slot</w:t>
            </w:r>
          </w:p>
        </w:tc>
      </w:tr>
      <w:tr>
        <w:tc>
          <w:tcPr>
            <w:tcW w:type="dxa" w:w="3168"/>
          </w:tcPr>
          <w:p>
            <w:r>
              <w:rPr>
                <w:sz w:val="19"/>
              </w:rPr>
              <w:t>alerts</w:t>
            </w:r>
          </w:p>
        </w:tc>
        <w:tc>
          <w:tcPr>
            <w:tcW w:type="dxa" w:w="5760"/>
          </w:tcPr>
          <w:p>
            <w:r>
              <w:rPr>
                <w:sz w:val="19"/>
              </w:rPr>
              <w:t>Gap, inertia, deterioration, and adherence alerts</w:t>
            </w:r>
          </w:p>
        </w:tc>
      </w:tr>
      <w:tr>
        <w:tc>
          <w:tcPr>
            <w:tcW w:type="dxa" w:w="3168"/>
            <w:shd w:val="clear" w:color="auto" w:fill="EBF5FB"/>
          </w:tcPr>
          <w:p>
            <w:r>
              <w:rPr>
                <w:sz w:val="19"/>
              </w:rPr>
              <w:t>briefings</w:t>
            </w:r>
          </w:p>
        </w:tc>
        <w:tc>
          <w:tcPr>
            <w:tcW w:type="dxa" w:w="5760"/>
            <w:shd w:val="clear" w:color="auto" w:fill="EBF5FB"/>
          </w:tcPr>
          <w:p>
            <w:r>
              <w:rPr>
                <w:sz w:val="19"/>
              </w:rPr>
              <w:t>Pre-visit briefing payloads (JSON) + Layer 3 audit fields</w:t>
            </w:r>
          </w:p>
        </w:tc>
      </w:tr>
      <w:tr>
        <w:tc>
          <w:tcPr>
            <w:tcW w:type="dxa" w:w="3168"/>
          </w:tcPr>
          <w:p>
            <w:r>
              <w:rPr>
                <w:sz w:val="19"/>
              </w:rPr>
              <w:t>processing_jobs</w:t>
            </w:r>
          </w:p>
        </w:tc>
        <w:tc>
          <w:tcPr>
            <w:tcW w:type="dxa" w:w="5760"/>
          </w:tcPr>
          <w:p>
            <w:r>
              <w:rPr>
                <w:sz w:val="19"/>
              </w:rPr>
              <w:t>Async job queue with idempotency guard</w:t>
            </w:r>
          </w:p>
        </w:tc>
      </w:tr>
      <w:tr>
        <w:tc>
          <w:tcPr>
            <w:tcW w:type="dxa" w:w="3168"/>
            <w:shd w:val="clear" w:color="auto" w:fill="EBF5FB"/>
          </w:tcPr>
          <w:p>
            <w:r>
              <w:rPr>
                <w:sz w:val="19"/>
              </w:rPr>
              <w:t>audit_events</w:t>
            </w:r>
          </w:p>
        </w:tc>
        <w:tc>
          <w:tcPr>
            <w:tcW w:type="dxa" w:w="5760"/>
            <w:shd w:val="clear" w:color="auto" w:fill="EBF5FB"/>
          </w:tcPr>
          <w:p>
            <w:r>
              <w:rPr>
                <w:sz w:val="19"/>
              </w:rPr>
              <w:t>Immutable audit trail for every clinical action</w:t>
            </w:r>
          </w:p>
        </w:tc>
      </w:tr>
    </w:tbl>
    <w:p/>
    <w:p>
      <w:pPr>
        <w:spacing w:before="200" w:after="40"/>
      </w:pPr>
      <w:r>
        <w:rPr>
          <w:b/>
          <w:color w:val="1E3A5F"/>
          <w:sz w:val="26"/>
        </w:rPr>
        <w:t>2.2  EHR Data Ingestion Pipeline (iEMR → FHIR → PostgreSQL)</w:t>
      </w:r>
    </w:p>
    <w:p>
      <w:pPr>
        <w:spacing w:after="80"/>
      </w:pPr>
      <w:r>
        <w:rPr>
          <w:sz w:val="21"/>
        </w:rPr>
        <w:t>The full pipeline from raw hospital iEMR records to our PostgreSQL database works end-to-end.</w:t>
      </w:r>
    </w:p>
    <w:p>
      <w:pPr>
        <w:pStyle w:val="ListBullet"/>
        <w:spacing w:after="40"/>
      </w:pPr>
      <w:r>
        <w:rPr>
          <w:b/>
          <w:sz w:val="21"/>
        </w:rPr>
        <w:t xml:space="preserve">FHIR Adapter: </w:t>
      </w:r>
      <w:r>
        <w:rPr>
          <w:sz w:val="21"/>
        </w:rPr>
        <w:t>Converts iEMR's proprietary JSON format into a standard FHIR R4 healthcare bundle.</w:t>
      </w:r>
    </w:p>
    <w:p>
      <w:pPr>
        <w:pStyle w:val="ListBullet"/>
        <w:spacing w:after="40"/>
      </w:pPr>
      <w:r>
        <w:rPr>
          <w:b/>
          <w:sz w:val="21"/>
        </w:rPr>
        <w:t xml:space="preserve">FHIR Validator: </w:t>
      </w:r>
      <w:r>
        <w:rPr>
          <w:sz w:val="21"/>
        </w:rPr>
        <w:t>Validates the bundle structure before ingestion begins.</w:t>
      </w:r>
    </w:p>
    <w:p>
      <w:pPr>
        <w:pStyle w:val="ListBullet"/>
        <w:spacing w:after="40"/>
      </w:pPr>
      <w:r>
        <w:rPr>
          <w:b/>
          <w:sz w:val="21"/>
        </w:rPr>
        <w:t xml:space="preserve">FHIR Ingestion: </w:t>
      </w:r>
      <w:r>
        <w:rPr>
          <w:sz w:val="21"/>
        </w:rPr>
        <w:t>Populates all 8 database tables. Handles re-runs gracefully — duplicate ingestion does not corrupt records.</w:t>
      </w:r>
    </w:p>
    <w:p>
      <w:pPr>
        <w:pStyle w:val="ListBullet"/>
        <w:spacing w:after="40"/>
      </w:pPr>
      <w:r>
        <w:rPr>
          <w:b/>
          <w:sz w:val="21"/>
        </w:rPr>
        <w:t xml:space="preserve">Risk Override: </w:t>
      </w:r>
      <w:r>
        <w:rPr>
          <w:sz w:val="21"/>
        </w:rPr>
        <w:t>Automatically assigns high-risk tier to patients with CHF, Stroke, or TIA history.</w:t>
      </w:r>
    </w:p>
    <w:p>
      <w:pPr>
        <w:pStyle w:val="ListBullet"/>
        <w:spacing w:after="40"/>
      </w:pPr>
      <w:r>
        <w:rPr>
          <w:b/>
          <w:sz w:val="21"/>
        </w:rPr>
        <w:t xml:space="preserve">Demo Patient: </w:t>
      </w:r>
      <w:r>
        <w:rPr>
          <w:sz w:val="21"/>
        </w:rPr>
        <w:t>Patient 1091 is fully ingested: 65 clinic BP readings, complete medication history (104 timeline events), CHF override applied.</w:t>
      </w:r>
    </w:p>
    <w:p>
      <w:pPr>
        <w:spacing w:before="200" w:after="40"/>
      </w:pPr>
      <w:r>
        <w:rPr>
          <w:b/>
          <w:color w:val="1E3A5F"/>
          <w:sz w:val="26"/>
        </w:rPr>
        <w:t>2.3  Synthetic Data Generation</w:t>
      </w:r>
    </w:p>
    <w:p>
      <w:pPr>
        <w:spacing w:after="80"/>
      </w:pPr>
      <w:r>
        <w:rPr>
          <w:sz w:val="21"/>
        </w:rPr>
        <w:t>Two generators produce realistic patient monitoring data for the demo patient.</w:t>
      </w:r>
    </w:p>
    <w:p>
      <w:pPr>
        <w:spacing w:before="120" w:after="40"/>
      </w:pPr>
      <w:r>
        <w:rPr>
          <w:b/>
          <w:color w:val="374751"/>
          <w:sz w:val="22"/>
        </w:rPr>
        <w:t>Home BP Readings (28-day window, ~47 records)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1A56DB"/>
          </w:tcPr>
          <w:p>
            <w:r>
              <w:rPr>
                <w:b/>
                <w:color w:val="FFFFFF"/>
                <w:sz w:val="19"/>
              </w:rPr>
              <w:t>Phase</w:t>
            </w:r>
          </w:p>
        </w:tc>
        <w:tc>
          <w:tcPr>
            <w:tcW w:type="dxa" w:w="1152"/>
            <w:shd w:val="clear" w:color="auto" w:fill="1A56DB"/>
          </w:tcPr>
          <w:p>
            <w:r>
              <w:rPr>
                <w:b/>
                <w:color w:val="FFFFFF"/>
                <w:sz w:val="19"/>
              </w:rPr>
              <w:t>Days</w:t>
            </w:r>
          </w:p>
        </w:tc>
        <w:tc>
          <w:tcPr>
            <w:tcW w:type="dxa" w:w="2160"/>
            <w:shd w:val="clear" w:color="auto" w:fill="1A56DB"/>
          </w:tcPr>
          <w:p>
            <w:r>
              <w:rPr>
                <w:b/>
                <w:color w:val="FFFFFF"/>
                <w:sz w:val="19"/>
              </w:rPr>
              <w:t>Systolic Target</w:t>
            </w:r>
          </w:p>
        </w:tc>
        <w:tc>
          <w:tcPr>
            <w:tcW w:type="dxa" w:w="3024"/>
            <w:shd w:val="clear" w:color="auto" w:fill="1A56DB"/>
          </w:tcPr>
          <w:p>
            <w:r>
              <w:rPr>
                <w:b/>
                <w:color w:val="FFFFFF"/>
                <w:sz w:val="19"/>
              </w:rPr>
              <w:t>Notes</w:t>
            </w:r>
          </w:p>
        </w:tc>
      </w:tr>
      <w:tr>
        <w:tc>
          <w:tcPr>
            <w:tcW w:type="dxa" w:w="2592"/>
          </w:tcPr>
          <w:p>
            <w:r>
              <w:rPr>
                <w:sz w:val="19"/>
              </w:rPr>
              <w:t>Baseline establishment</w:t>
            </w:r>
          </w:p>
        </w:tc>
        <w:tc>
          <w:tcPr>
            <w:tcW w:type="dxa" w:w="1152"/>
          </w:tcPr>
          <w:p>
            <w:r>
              <w:rPr>
                <w:sz w:val="19"/>
              </w:rPr>
              <w:t>1–7</w:t>
            </w:r>
          </w:p>
        </w:tc>
        <w:tc>
          <w:tcPr>
            <w:tcW w:type="dxa" w:w="2160"/>
          </w:tcPr>
          <w:p>
            <w:r>
              <w:rPr>
                <w:sz w:val="19"/>
              </w:rPr>
              <w:t>~163 mmHg</w:t>
            </w:r>
          </w:p>
        </w:tc>
        <w:tc>
          <w:tcPr>
            <w:tcW w:type="dxa" w:w="3024"/>
          </w:tcPr>
          <w:p>
            <w:r>
              <w:rPr>
                <w:sz w:val="19"/>
              </w:rPr>
              <w:t>Both morning &amp; evening sessions</w:t>
            </w:r>
          </w:p>
        </w:tc>
      </w:tr>
      <w:tr>
        <w:tc>
          <w:tcPr>
            <w:tcW w:type="dxa" w:w="2592"/>
            <w:shd w:val="clear" w:color="auto" w:fill="EBF5FB"/>
          </w:tcPr>
          <w:p>
            <w:r>
              <w:rPr>
                <w:sz w:val="19"/>
              </w:rPr>
              <w:t>Inertia develops</w:t>
            </w:r>
          </w:p>
        </w:tc>
        <w:tc>
          <w:tcPr>
            <w:tcW w:type="dxa" w:w="1152"/>
            <w:shd w:val="clear" w:color="auto" w:fill="EBF5FB"/>
          </w:tcPr>
          <w:p>
            <w:r>
              <w:rPr>
                <w:sz w:val="19"/>
              </w:rPr>
              <w:t>8–14</w:t>
            </w:r>
          </w:p>
        </w:tc>
        <w:tc>
          <w:tcPr>
            <w:tcW w:type="dxa" w:w="2160"/>
            <w:shd w:val="clear" w:color="auto" w:fill="EBF5FB"/>
          </w:tcPr>
          <w:p>
            <w:r>
              <w:rPr>
                <w:sz w:val="19"/>
              </w:rPr>
              <w:t>163 → 165</w:t>
            </w:r>
          </w:p>
        </w:tc>
        <w:tc>
          <w:tcPr>
            <w:tcW w:type="dxa" w:w="3024"/>
            <w:shd w:val="clear" w:color="auto" w:fill="EBF5FB"/>
          </w:tcPr>
          <w:p>
            <w:r>
              <w:rPr>
                <w:sz w:val="19"/>
              </w:rPr>
              <w:t>One evening randomly missed</w:t>
            </w:r>
          </w:p>
        </w:tc>
      </w:tr>
      <w:tr>
        <w:tc>
          <w:tcPr>
            <w:tcW w:type="dxa" w:w="2592"/>
          </w:tcPr>
          <w:p>
            <w:r>
              <w:rPr>
                <w:sz w:val="19"/>
              </w:rPr>
              <w:t>Continued elevation</w:t>
            </w:r>
          </w:p>
        </w:tc>
        <w:tc>
          <w:tcPr>
            <w:tcW w:type="dxa" w:w="1152"/>
          </w:tcPr>
          <w:p>
            <w:r>
              <w:rPr>
                <w:sz w:val="19"/>
              </w:rPr>
              <w:t>15–18</w:t>
            </w:r>
          </w:p>
        </w:tc>
        <w:tc>
          <w:tcPr>
            <w:tcW w:type="dxa" w:w="2160"/>
          </w:tcPr>
          <w:p>
            <w:r>
              <w:rPr>
                <w:sz w:val="19"/>
              </w:rPr>
              <w:t>164–167</w:t>
            </w:r>
          </w:p>
        </w:tc>
        <w:tc>
          <w:tcPr>
            <w:tcW w:type="dxa" w:w="3024"/>
          </w:tcPr>
          <w:p>
            <w:r>
              <w:rPr>
                <w:sz w:val="19"/>
              </w:rPr>
              <w:t>Days 16–17 absent (device outage)</w:t>
            </w:r>
          </w:p>
        </w:tc>
      </w:tr>
      <w:tr>
        <w:tc>
          <w:tcPr>
            <w:tcW w:type="dxa" w:w="2592"/>
            <w:shd w:val="clear" w:color="auto" w:fill="EBF5FB"/>
          </w:tcPr>
          <w:p>
            <w:r>
              <w:rPr>
                <w:sz w:val="19"/>
              </w:rPr>
              <w:t>White-coat dip</w:t>
            </w:r>
          </w:p>
        </w:tc>
        <w:tc>
          <w:tcPr>
            <w:tcW w:type="dxa" w:w="1152"/>
            <w:shd w:val="clear" w:color="auto" w:fill="EBF5FB"/>
          </w:tcPr>
          <w:p>
            <w:r>
              <w:rPr>
                <w:sz w:val="19"/>
              </w:rPr>
              <w:t>19–21</w:t>
            </w:r>
          </w:p>
        </w:tc>
        <w:tc>
          <w:tcPr>
            <w:tcW w:type="dxa" w:w="2160"/>
            <w:shd w:val="clear" w:color="auto" w:fill="EBF5FB"/>
          </w:tcPr>
          <w:p>
            <w:r>
              <w:rPr>
                <w:sz w:val="19"/>
              </w:rPr>
              <w:t>158 → 149</w:t>
            </w:r>
          </w:p>
        </w:tc>
        <w:tc>
          <w:tcPr>
            <w:tcW w:type="dxa" w:w="3024"/>
            <w:shd w:val="clear" w:color="auto" w:fill="EBF5FB"/>
          </w:tcPr>
          <w:p>
            <w:r>
              <w:rPr>
                <w:sz w:val="19"/>
              </w:rPr>
              <w:t>Gradual pre-appointment decline</w:t>
            </w:r>
          </w:p>
        </w:tc>
      </w:tr>
      <w:tr>
        <w:tc>
          <w:tcPr>
            <w:tcW w:type="dxa" w:w="2592"/>
          </w:tcPr>
          <w:p>
            <w:r>
              <w:rPr>
                <w:sz w:val="19"/>
              </w:rPr>
              <w:t>Post-appointment return</w:t>
            </w:r>
          </w:p>
        </w:tc>
        <w:tc>
          <w:tcPr>
            <w:tcW w:type="dxa" w:w="1152"/>
          </w:tcPr>
          <w:p>
            <w:r>
              <w:rPr>
                <w:sz w:val="19"/>
              </w:rPr>
              <w:t>22–28</w:t>
            </w:r>
          </w:p>
        </w:tc>
        <w:tc>
          <w:tcPr>
            <w:tcW w:type="dxa" w:w="2160"/>
          </w:tcPr>
          <w:p>
            <w:r>
              <w:rPr>
                <w:sz w:val="19"/>
              </w:rPr>
              <w:t>160–166</w:t>
            </w:r>
          </w:p>
        </w:tc>
        <w:tc>
          <w:tcPr>
            <w:tcW w:type="dxa" w:w="3024"/>
          </w:tcPr>
          <w:p>
            <w:r>
              <w:rPr>
                <w:sz w:val="19"/>
              </w:rPr>
              <w:t>Days 25–26 absent (weekend miss)</w:t>
            </w:r>
          </w:p>
        </w:tc>
      </w:tr>
    </w:tbl>
    <w:p/>
    <w:p>
      <w:pPr>
        <w:spacing w:after="80"/>
      </w:pPr>
      <w:r>
        <w:rPr>
          <w:sz w:val="21"/>
        </w:rPr>
        <w:t>All readings follow clinical protocol: two readings per session (second slightly lower), morning/evening offset, anti-rounding noise, beta-blocker heart rate effect for patients on Metoprolol.</w:t>
      </w:r>
    </w:p>
    <w:p>
      <w:pPr>
        <w:spacing w:before="120" w:after="40"/>
      </w:pPr>
      <w:r>
        <w:rPr>
          <w:b/>
          <w:color w:val="374751"/>
          <w:sz w:val="22"/>
        </w:rPr>
        <w:t>Medication Confirmations (28-day window)</w:t>
      </w:r>
    </w:p>
    <w:p>
      <w:pPr>
        <w:pStyle w:val="ListBullet"/>
        <w:spacing w:after="40"/>
      </w:pPr>
      <w:r>
        <w:rPr>
          <w:sz w:val="21"/>
        </w:rPr>
        <w:t>Generates one dose record per scheduled slot for every medication — confirmed or missed.</w:t>
      </w:r>
    </w:p>
    <w:p>
      <w:pPr>
        <w:pStyle w:val="ListBullet"/>
        <w:spacing w:after="40"/>
      </w:pPr>
      <w:r>
        <w:rPr>
          <w:sz w:val="21"/>
        </w:rPr>
        <w:t>Weekday adherence: 95% | Weekend adherence: 78% → blended ~90%, matching the Patient A spec of 91%.</w:t>
      </w:r>
    </w:p>
    <w:p>
      <w:pPr>
        <w:pStyle w:val="ListBullet"/>
        <w:spacing w:after="40"/>
      </w:pPr>
      <w:r>
        <w:rPr>
          <w:sz w:val="21"/>
        </w:rPr>
        <w:t>Dosing frequency auto-detected from medication name (once/twice/three/four times daily).</w:t>
      </w:r>
    </w:p>
    <w:p>
      <w:pPr>
        <w:pStyle w:val="ListBullet"/>
        <w:spacing w:after="40"/>
      </w:pPr>
      <w:r>
        <w:rPr>
          <w:sz w:val="21"/>
        </w:rPr>
        <w:t>Patient 1091 result: 1,092 scheduled doses across 3 medications; ~977 confirmed.</w:t>
      </w:r>
    </w:p>
    <w:p>
      <w:pPr>
        <w:spacing w:before="200" w:after="40"/>
      </w:pPr>
      <w:r>
        <w:rPr>
          <w:b/>
          <w:color w:val="1E3A5F"/>
          <w:sz w:val="26"/>
        </w:rPr>
        <w:t>2.4  Briefing Engine (Layer 1 Deterministic + Layer 3 LLM)</w:t>
      </w:r>
    </w:p>
    <w:p>
      <w:pPr>
        <w:spacing w:after="80"/>
      </w:pPr>
      <w:r>
        <w:rPr>
          <w:sz w:val="21"/>
        </w:rPr>
        <w:t>The pre-visit briefing a GP sees on appointment day is fully built.</w:t>
      </w:r>
    </w:p>
    <w:p>
      <w:pPr>
        <w:spacing w:before="120" w:after="40"/>
      </w:pPr>
      <w:r>
        <w:rPr>
          <w:b/>
          <w:color w:val="374751"/>
          <w:sz w:val="22"/>
        </w:rPr>
        <w:t>Layer 1 — Deterministic Briefing Composer</w:t>
      </w:r>
    </w:p>
    <w:p>
      <w:pPr>
        <w:spacing w:after="80"/>
      </w:pPr>
      <w:r>
        <w:rPr>
          <w:sz w:val="21"/>
        </w:rPr>
        <w:t>Assembles a structured JSON briefing from pure database queries. No AI involved. Nine fields are populated:</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1A56DB"/>
          </w:tcPr>
          <w:p>
            <w:r>
              <w:rPr>
                <w:b/>
                <w:color w:val="FFFFFF"/>
                <w:sz w:val="19"/>
              </w:rPr>
              <w:t>Field</w:t>
            </w:r>
          </w:p>
        </w:tc>
        <w:tc>
          <w:tcPr>
            <w:tcW w:type="dxa" w:w="6336"/>
            <w:shd w:val="clear" w:color="auto" w:fill="1A56DB"/>
          </w:tcPr>
          <w:p>
            <w:r>
              <w:rPr>
                <w:b/>
                <w:color w:val="FFFFFF"/>
                <w:sz w:val="19"/>
              </w:rPr>
              <w:t>Content</w:t>
            </w:r>
          </w:p>
        </w:tc>
      </w:tr>
      <w:tr>
        <w:tc>
          <w:tcPr>
            <w:tcW w:type="dxa" w:w="2592"/>
          </w:tcPr>
          <w:p>
            <w:r>
              <w:rPr>
                <w:sz w:val="19"/>
              </w:rPr>
              <w:t>Trend Summary</w:t>
            </w:r>
          </w:p>
        </w:tc>
        <w:tc>
          <w:tcPr>
            <w:tcW w:type="dxa" w:w="6336"/>
          </w:tcPr>
          <w:p>
            <w:r>
              <w:rPr>
                <w:sz w:val="19"/>
              </w:rPr>
              <w:t>28-day BP pattern described in plain clinical English</w:t>
            </w:r>
          </w:p>
        </w:tc>
      </w:tr>
      <w:tr>
        <w:tc>
          <w:tcPr>
            <w:tcW w:type="dxa" w:w="2592"/>
            <w:shd w:val="clear" w:color="auto" w:fill="EBF5FB"/>
          </w:tcPr>
          <w:p>
            <w:r>
              <w:rPr>
                <w:sz w:val="19"/>
              </w:rPr>
              <w:t>Medication Status</w:t>
            </w:r>
          </w:p>
        </w:tc>
        <w:tc>
          <w:tcPr>
            <w:tcW w:type="dxa" w:w="6336"/>
            <w:shd w:val="clear" w:color="auto" w:fill="EBF5FB"/>
          </w:tcPr>
          <w:p>
            <w:r>
              <w:rPr>
                <w:sz w:val="19"/>
              </w:rPr>
              <w:t>Current regimen and date of last medication change</w:t>
            </w:r>
          </w:p>
        </w:tc>
      </w:tr>
      <w:tr>
        <w:tc>
          <w:tcPr>
            <w:tcW w:type="dxa" w:w="2592"/>
          </w:tcPr>
          <w:p>
            <w:r>
              <w:rPr>
                <w:sz w:val="19"/>
              </w:rPr>
              <w:t>Adherence Summary</w:t>
            </w:r>
          </w:p>
        </w:tc>
        <w:tc>
          <w:tcPr>
            <w:tcW w:type="dxa" w:w="6336"/>
          </w:tcPr>
          <w:p>
            <w:r>
              <w:rPr>
                <w:sz w:val="19"/>
              </w:rPr>
              <w:t>Adherence rate per medication + pattern interpretation</w:t>
            </w:r>
          </w:p>
        </w:tc>
      </w:tr>
      <w:tr>
        <w:tc>
          <w:tcPr>
            <w:tcW w:type="dxa" w:w="2592"/>
            <w:shd w:val="clear" w:color="auto" w:fill="EBF5FB"/>
          </w:tcPr>
          <w:p>
            <w:r>
              <w:rPr>
                <w:sz w:val="19"/>
              </w:rPr>
              <w:t>Active Problems</w:t>
            </w:r>
          </w:p>
        </w:tc>
        <w:tc>
          <w:tcPr>
            <w:tcW w:type="dxa" w:w="6336"/>
            <w:shd w:val="clear" w:color="auto" w:fill="EBF5FB"/>
          </w:tcPr>
          <w:p>
            <w:r>
              <w:rPr>
                <w:sz w:val="19"/>
              </w:rPr>
              <w:t>From the patient's clinical context</w:t>
            </w:r>
          </w:p>
        </w:tc>
      </w:tr>
      <w:tr>
        <w:tc>
          <w:tcPr>
            <w:tcW w:type="dxa" w:w="2592"/>
          </w:tcPr>
          <w:p>
            <w:r>
              <w:rPr>
                <w:sz w:val="19"/>
              </w:rPr>
              <w:t>Overdue Labs</w:t>
            </w:r>
          </w:p>
        </w:tc>
        <w:tc>
          <w:tcPr>
            <w:tcW w:type="dxa" w:w="6336"/>
          </w:tcPr>
          <w:p>
            <w:r>
              <w:rPr>
                <w:sz w:val="19"/>
              </w:rPr>
              <w:t>Outstanding lab work from EHR</w:t>
            </w:r>
          </w:p>
        </w:tc>
      </w:tr>
      <w:tr>
        <w:tc>
          <w:tcPr>
            <w:tcW w:type="dxa" w:w="2592"/>
            <w:shd w:val="clear" w:color="auto" w:fill="EBF5FB"/>
          </w:tcPr>
          <w:p>
            <w:r>
              <w:rPr>
                <w:sz w:val="19"/>
              </w:rPr>
              <w:t>Visit Agenda</w:t>
            </w:r>
          </w:p>
        </w:tc>
        <w:tc>
          <w:tcPr>
            <w:tcW w:type="dxa" w:w="6336"/>
            <w:shd w:val="clear" w:color="auto" w:fill="EBF5FB"/>
          </w:tcPr>
          <w:p>
            <w:r>
              <w:rPr>
                <w:sz w:val="19"/>
              </w:rPr>
              <w:t>Prioritised 3–6 action items for the consultation</w:t>
            </w:r>
          </w:p>
        </w:tc>
      </w:tr>
      <w:tr>
        <w:tc>
          <w:tcPr>
            <w:tcW w:type="dxa" w:w="2592"/>
          </w:tcPr>
          <w:p>
            <w:r>
              <w:rPr>
                <w:sz w:val="19"/>
              </w:rPr>
              <w:t>Urgent Flags</w:t>
            </w:r>
          </w:p>
        </w:tc>
        <w:tc>
          <w:tcPr>
            <w:tcW w:type="dxa" w:w="6336"/>
          </w:tcPr>
          <w:p>
            <w:r>
              <w:rPr>
                <w:sz w:val="19"/>
              </w:rPr>
              <w:t>Active unacknowledged alerts</w:t>
            </w:r>
          </w:p>
        </w:tc>
      </w:tr>
      <w:tr>
        <w:tc>
          <w:tcPr>
            <w:tcW w:type="dxa" w:w="2592"/>
            <w:shd w:val="clear" w:color="auto" w:fill="EBF5FB"/>
          </w:tcPr>
          <w:p>
            <w:r>
              <w:rPr>
                <w:sz w:val="19"/>
              </w:rPr>
              <w:t>Risk Score</w:t>
            </w:r>
          </w:p>
        </w:tc>
        <w:tc>
          <w:tcPr>
            <w:tcW w:type="dxa" w:w="6336"/>
            <w:shd w:val="clear" w:color="auto" w:fill="EBF5FB"/>
          </w:tcPr>
          <w:p>
            <w:r>
              <w:rPr>
                <w:sz w:val="19"/>
              </w:rPr>
              <w:t>Layer 2 priority score (0.0–100.0)</w:t>
            </w:r>
          </w:p>
        </w:tc>
      </w:tr>
      <w:tr>
        <w:tc>
          <w:tcPr>
            <w:tcW w:type="dxa" w:w="2592"/>
          </w:tcPr>
          <w:p>
            <w:r>
              <w:rPr>
                <w:sz w:val="19"/>
              </w:rPr>
              <w:t>Data Limitations</w:t>
            </w:r>
          </w:p>
        </w:tc>
        <w:tc>
          <w:tcPr>
            <w:tcW w:type="dxa" w:w="6336"/>
          </w:tcPr>
          <w:p>
            <w:r>
              <w:rPr>
                <w:sz w:val="19"/>
              </w:rPr>
              <w:t>Whether home monitoring data is available</w:t>
            </w:r>
          </w:p>
        </w:tc>
      </w:tr>
    </w:tbl>
    <w:p/>
    <w:p>
      <w:pPr>
        <w:spacing w:after="80"/>
      </w:pPr>
      <w:r>
        <w:rPr>
          <w:sz w:val="21"/>
        </w:rPr>
        <w:t>Clinical language is enforced at code level — e.g., the system always writes "possible adherence concern" and never "non-adherent".</w:t>
      </w:r>
    </w:p>
    <w:p>
      <w:pPr>
        <w:spacing w:before="120" w:after="40"/>
      </w:pPr>
      <w:r>
        <w:rPr>
          <w:b/>
          <w:color w:val="374751"/>
          <w:sz w:val="22"/>
        </w:rPr>
        <w:t>Layer 3 — LLM Summary (Optional)</w:t>
      </w:r>
    </w:p>
    <w:p>
      <w:pPr>
        <w:pStyle w:val="ListBullet"/>
        <w:spacing w:after="40"/>
      </w:pPr>
      <w:r>
        <w:rPr>
          <w:sz w:val="21"/>
        </w:rPr>
        <w:t>Converts the structured Layer 1 briefing into a 3-sentence readable summary using Claude (claude-sonnet-4-20250514).</w:t>
      </w:r>
    </w:p>
    <w:p>
      <w:pPr>
        <w:pStyle w:val="ListBullet"/>
        <w:spacing w:after="40"/>
      </w:pPr>
      <w:r>
        <w:rPr>
          <w:sz w:val="21"/>
        </w:rPr>
        <w:t>Only runs after Layer 1 is verified and saved — never before.</w:t>
      </w:r>
    </w:p>
    <w:p>
      <w:pPr>
        <w:pStyle w:val="ListBullet"/>
        <w:spacing w:after="40"/>
      </w:pPr>
      <w:r>
        <w:rPr>
          <w:sz w:val="21"/>
        </w:rPr>
        <w:t>Logs model version and prompt fingerprint (SHA-256) on every briefing row for full auditability.</w:t>
      </w:r>
    </w:p>
    <w:p>
      <w:pPr>
        <w:pStyle w:val="ListBullet"/>
        <w:spacing w:after="40"/>
      </w:pPr>
      <w:r>
        <w:rPr>
          <w:sz w:val="21"/>
        </w:rPr>
        <w:t>System prompt file is complete and enforces all clinical language boundaries.</w:t>
      </w:r>
    </w:p>
    <w:p>
      <w:pPr>
        <w:spacing w:before="200" w:after="40"/>
      </w:pPr>
      <w:r>
        <w:rPr>
          <w:b/>
          <w:color w:val="1E3A5F"/>
          <w:sz w:val="26"/>
        </w:rPr>
        <w:t>2.5  Background Worker &amp; Scheduler</w:t>
      </w:r>
    </w:p>
    <w:p>
      <w:pPr>
        <w:pStyle w:val="ListBullet"/>
        <w:spacing w:after="40"/>
      </w:pPr>
      <w:r>
        <w:rPr>
          <w:b/>
          <w:sz w:val="21"/>
        </w:rPr>
        <w:t xml:space="preserve">Job Processor: </w:t>
      </w:r>
      <w:r>
        <w:rPr>
          <w:sz w:val="21"/>
        </w:rPr>
        <w:t>Polls the processing_jobs table every 30 seconds and executes queued jobs.</w:t>
      </w:r>
    </w:p>
    <w:p>
      <w:pPr>
        <w:pStyle w:val="ListBullet"/>
        <w:spacing w:after="40"/>
      </w:pPr>
      <w:r>
        <w:rPr>
          <w:b/>
          <w:sz w:val="21"/>
        </w:rPr>
        <w:t xml:space="preserve">Scheduler: </w:t>
      </w:r>
      <w:r>
        <w:rPr>
          <w:sz w:val="21"/>
        </w:rPr>
        <w:t>Automatically enqueues briefing generation for patients with appointments on the current day at 7:30 AM UTC.</w:t>
      </w:r>
    </w:p>
    <w:p>
      <w:pPr>
        <w:pStyle w:val="ListBullet"/>
        <w:spacing w:after="40"/>
      </w:pPr>
      <w:r>
        <w:rPr>
          <w:b/>
          <w:sz w:val="21"/>
        </w:rPr>
        <w:t xml:space="preserve">Idempotency: </w:t>
      </w:r>
      <w:r>
        <w:rPr>
          <w:sz w:val="21"/>
        </w:rPr>
        <w:t>Uses a unique key per job — re-running the scheduler never generates duplicate briefings.</w:t>
      </w:r>
    </w:p>
    <w:p>
      <w:pPr>
        <w:pStyle w:val="ListBullet"/>
        <w:spacing w:after="40"/>
      </w:pPr>
      <w:r>
        <w:rPr>
          <w:b/>
          <w:sz w:val="21"/>
        </w:rPr>
        <w:t xml:space="preserve">Demo Mode: </w:t>
      </w:r>
      <w:r>
        <w:rPr>
          <w:sz w:val="21"/>
        </w:rPr>
        <w:t>POST /api/admin/trigger-scheduler is scaffolded for on-demand demo triggering.</w:t>
      </w:r>
    </w:p>
    <w:p>
      <w:pPr>
        <w:pStyle w:val="ListBullet"/>
        <w:spacing w:after="40"/>
      </w:pPr>
      <w:r>
        <w:rPr>
          <w:b/>
          <w:sz w:val="21"/>
        </w:rPr>
        <w:t xml:space="preserve">Status Flow: </w:t>
      </w:r>
      <w:r>
        <w:rPr>
          <w:sz w:val="21"/>
        </w:rPr>
        <w:t>Jobs move through: queued → running → succeeded | failed. Failure messages are logged.</w:t>
      </w:r>
    </w:p>
    <w:p>
      <w:pPr>
        <w:spacing w:before="200" w:after="40"/>
      </w:pPr>
      <w:r>
        <w:rPr>
          <w:b/>
          <w:color w:val="1E3A5F"/>
          <w:sz w:val="26"/>
        </w:rPr>
        <w:t>2.6  Test Suite</w:t>
      </w:r>
    </w:p>
    <w:p>
      <w:pPr>
        <w:spacing w:after="80"/>
      </w:pPr>
      <w:r>
        <w:rPr>
          <w:sz w:val="21"/>
        </w:rPr>
        <w:t>All built modules have comprehensive test coverage. 185+ unit tests and 4 integration tests — all passing.</w:t>
      </w:r>
    </w:p>
    <w:tbl>
      <w:tblPr>
        <w:tblStyle w:val="TableGrid"/>
        <w:tblW w:type="auto" w:w="0"/>
        <w:jc w:val="left"/>
        <w:tblLook w:firstColumn="1" w:firstRow="1" w:lastColumn="0" w:lastRow="0" w:noHBand="0" w:noVBand="1" w:val="04A0"/>
      </w:tblPr>
      <w:tblGrid>
        <w:gridCol w:w="2928"/>
        <w:gridCol w:w="2928"/>
        <w:gridCol w:w="2928"/>
      </w:tblGrid>
      <w:tr>
        <w:tc>
          <w:tcPr>
            <w:tcW w:type="dxa" w:w="4032"/>
            <w:shd w:val="clear" w:color="auto" w:fill="1A56DB"/>
          </w:tcPr>
          <w:p>
            <w:r>
              <w:rPr>
                <w:b/>
                <w:color w:val="FFFFFF"/>
                <w:sz w:val="19"/>
              </w:rPr>
              <w:t>Module</w:t>
            </w:r>
          </w:p>
        </w:tc>
        <w:tc>
          <w:tcPr>
            <w:tcW w:type="dxa" w:w="2160"/>
            <w:shd w:val="clear" w:color="auto" w:fill="1A56DB"/>
          </w:tcPr>
          <w:p>
            <w:r>
              <w:rPr>
                <w:b/>
                <w:color w:val="FFFFFF"/>
                <w:sz w:val="19"/>
              </w:rPr>
              <w:t>Unit Tests</w:t>
            </w:r>
          </w:p>
        </w:tc>
        <w:tc>
          <w:tcPr>
            <w:tcW w:type="dxa" w:w="2736"/>
            <w:shd w:val="clear" w:color="auto" w:fill="1A56DB"/>
          </w:tcPr>
          <w:p>
            <w:r>
              <w:rPr>
                <w:b/>
                <w:color w:val="FFFFFF"/>
                <w:sz w:val="19"/>
              </w:rPr>
              <w:t>Integration Tests</w:t>
            </w:r>
          </w:p>
        </w:tc>
      </w:tr>
      <w:tr>
        <w:tc>
          <w:tcPr>
            <w:tcW w:type="dxa" w:w="4032"/>
          </w:tcPr>
          <w:p>
            <w:r>
              <w:rPr>
                <w:sz w:val="19"/>
              </w:rPr>
              <w:t>FHIR Adapter</w:t>
            </w:r>
          </w:p>
        </w:tc>
        <w:tc>
          <w:tcPr>
            <w:tcW w:type="dxa" w:w="2160"/>
          </w:tcPr>
          <w:p>
            <w:r>
              <w:rPr>
                <w:sz w:val="19"/>
              </w:rPr>
              <w:t>35</w:t>
            </w:r>
          </w:p>
        </w:tc>
        <w:tc>
          <w:tcPr>
            <w:tcW w:type="dxa" w:w="2736"/>
          </w:tcPr>
          <w:p>
            <w:r>
              <w:rPr>
                <w:sz w:val="19"/>
              </w:rPr>
              <w:t>1</w:t>
            </w:r>
          </w:p>
        </w:tc>
      </w:tr>
      <w:tr>
        <w:tc>
          <w:tcPr>
            <w:tcW w:type="dxa" w:w="4032"/>
            <w:shd w:val="clear" w:color="auto" w:fill="EBF5FB"/>
          </w:tcPr>
          <w:p>
            <w:r>
              <w:rPr>
                <w:sz w:val="19"/>
              </w:rPr>
              <w:t>FHIR Ingestion</w:t>
            </w:r>
          </w:p>
        </w:tc>
        <w:tc>
          <w:tcPr>
            <w:tcW w:type="dxa" w:w="2160"/>
            <w:shd w:val="clear" w:color="auto" w:fill="EBF5FB"/>
          </w:tcPr>
          <w:p>
            <w:r>
              <w:rPr>
                <w:sz w:val="19"/>
              </w:rPr>
              <w:t>36</w:t>
            </w:r>
          </w:p>
        </w:tc>
        <w:tc>
          <w:tcPr>
            <w:tcW w:type="dxa" w:w="2736"/>
            <w:shd w:val="clear" w:color="auto" w:fill="EBF5FB"/>
          </w:tcPr>
          <w:p>
            <w:r>
              <w:rPr>
                <w:sz w:val="19"/>
              </w:rPr>
              <w:t>1</w:t>
            </w:r>
          </w:p>
        </w:tc>
      </w:tr>
      <w:tr>
        <w:tc>
          <w:tcPr>
            <w:tcW w:type="dxa" w:w="4032"/>
          </w:tcPr>
          <w:p>
            <w:r>
              <w:rPr>
                <w:sz w:val="19"/>
              </w:rPr>
              <w:t>Reading Generator</w:t>
            </w:r>
          </w:p>
        </w:tc>
        <w:tc>
          <w:tcPr>
            <w:tcW w:type="dxa" w:w="2160"/>
          </w:tcPr>
          <w:p>
            <w:r>
              <w:rPr>
                <w:sz w:val="19"/>
              </w:rPr>
              <w:t>14</w:t>
            </w:r>
          </w:p>
        </w:tc>
        <w:tc>
          <w:tcPr>
            <w:tcW w:type="dxa" w:w="2736"/>
          </w:tcPr>
          <w:p>
            <w:r>
              <w:rPr>
                <w:sz w:val="19"/>
              </w:rPr>
              <w:t>1</w:t>
            </w:r>
          </w:p>
        </w:tc>
      </w:tr>
      <w:tr>
        <w:tc>
          <w:tcPr>
            <w:tcW w:type="dxa" w:w="4032"/>
            <w:shd w:val="clear" w:color="auto" w:fill="EBF5FB"/>
          </w:tcPr>
          <w:p>
            <w:r>
              <w:rPr>
                <w:sz w:val="19"/>
              </w:rPr>
              <w:t>Confirmation Generator</w:t>
            </w:r>
          </w:p>
        </w:tc>
        <w:tc>
          <w:tcPr>
            <w:tcW w:type="dxa" w:w="2160"/>
            <w:shd w:val="clear" w:color="auto" w:fill="EBF5FB"/>
          </w:tcPr>
          <w:p>
            <w:r>
              <w:rPr>
                <w:sz w:val="19"/>
              </w:rPr>
              <w:t>20</w:t>
            </w:r>
          </w:p>
        </w:tc>
        <w:tc>
          <w:tcPr>
            <w:tcW w:type="dxa" w:w="2736"/>
            <w:shd w:val="clear" w:color="auto" w:fill="EBF5FB"/>
          </w:tcPr>
          <w:p>
            <w:r>
              <w:rPr>
                <w:sz w:val="19"/>
              </w:rPr>
              <w:t>—</w:t>
            </w:r>
          </w:p>
        </w:tc>
      </w:tr>
      <w:tr>
        <w:tc>
          <w:tcPr>
            <w:tcW w:type="dxa" w:w="4032"/>
          </w:tcPr>
          <w:p>
            <w:r>
              <w:rPr>
                <w:sz w:val="19"/>
              </w:rPr>
              <w:t>Briefing Composer</w:t>
            </w:r>
          </w:p>
        </w:tc>
        <w:tc>
          <w:tcPr>
            <w:tcW w:type="dxa" w:w="2160"/>
          </w:tcPr>
          <w:p>
            <w:r>
              <w:rPr>
                <w:sz w:val="19"/>
              </w:rPr>
              <w:t>61</w:t>
            </w:r>
          </w:p>
        </w:tc>
        <w:tc>
          <w:tcPr>
            <w:tcW w:type="dxa" w:w="2736"/>
          </w:tcPr>
          <w:p>
            <w:r>
              <w:rPr>
                <w:sz w:val="19"/>
              </w:rPr>
              <w:t>—</w:t>
            </w:r>
          </w:p>
        </w:tc>
      </w:tr>
      <w:tr>
        <w:tc>
          <w:tcPr>
            <w:tcW w:type="dxa" w:w="4032"/>
            <w:shd w:val="clear" w:color="auto" w:fill="EBF5FB"/>
          </w:tcPr>
          <w:p>
            <w:r>
              <w:rPr>
                <w:sz w:val="19"/>
              </w:rPr>
              <w:t>Worker &amp; Scheduler</w:t>
            </w:r>
          </w:p>
        </w:tc>
        <w:tc>
          <w:tcPr>
            <w:tcW w:type="dxa" w:w="2160"/>
            <w:shd w:val="clear" w:color="auto" w:fill="EBF5FB"/>
          </w:tcPr>
          <w:p>
            <w:r>
              <w:rPr>
                <w:sz w:val="19"/>
              </w:rPr>
              <w:t>19</w:t>
            </w:r>
          </w:p>
        </w:tc>
        <w:tc>
          <w:tcPr>
            <w:tcW w:type="dxa" w:w="2736"/>
            <w:shd w:val="clear" w:color="auto" w:fill="EBF5FB"/>
          </w:tcPr>
          <w:p>
            <w:r>
              <w:rPr>
                <w:sz w:val="19"/>
              </w:rPr>
              <w:t>1</w:t>
            </w:r>
          </w:p>
        </w:tc>
      </w:tr>
      <w:tr>
        <w:tc>
          <w:tcPr>
            <w:tcW w:type="dxa" w:w="4032"/>
          </w:tcPr>
          <w:p>
            <w:r>
              <w:rPr>
                <w:sz w:val="19"/>
              </w:rPr>
              <w:t>TOTAL</w:t>
            </w:r>
          </w:p>
        </w:tc>
        <w:tc>
          <w:tcPr>
            <w:tcW w:type="dxa" w:w="2160"/>
          </w:tcPr>
          <w:p>
            <w:r>
              <w:rPr>
                <w:sz w:val="19"/>
              </w:rPr>
              <w:t>185+</w:t>
            </w:r>
          </w:p>
        </w:tc>
        <w:tc>
          <w:tcPr>
            <w:tcW w:type="dxa" w:w="2736"/>
          </w:tcPr>
          <w:p>
            <w:r>
              <w:rPr>
                <w:sz w:val="19"/>
              </w:rPr>
              <w:t>4</w:t>
            </w:r>
          </w:p>
        </w:tc>
      </w:tr>
    </w:tbl>
    <w:p/>
    <w:p>
      <w:pPr>
        <w:spacing w:before="80" w:after="80"/>
        <w:pBdr>
          <w:bottom w:val="single" w:sz="6" w:space="1" w:color="BBBBBB"/>
        </w:pBdr>
      </w:pPr>
    </w:p>
    <w:p>
      <w:pPr>
        <w:spacing w:before="280" w:after="80"/>
      </w:pPr>
      <w:r>
        <w:rPr>
          <w:b/>
          <w:color w:val="1A56DB"/>
          <w:sz w:val="36"/>
        </w:rPr>
        <w:t>3. What's Not Started (Critical Gaps)</w:t>
      </w:r>
    </w:p>
    <w:p>
      <w:pPr>
        <w:spacing w:before="200" w:after="40"/>
      </w:pPr>
      <w:r>
        <w:rPr>
          <w:b/>
          <w:color w:val="1E3A5F"/>
          <w:sz w:val="26"/>
        </w:rPr>
        <w:t>3.1  Pattern Engine — Layer 1 &amp; Layer 2  [HIGHEST PRIORITY]</w:t>
      </w:r>
    </w:p>
    <w:p>
      <w:pPr>
        <w:spacing w:after="80"/>
      </w:pPr>
      <w:r>
        <w:rPr>
          <w:sz w:val="21"/>
        </w:rPr>
        <w:t>This is the clinical intelligence core of ARIA. Five components need to be built:</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1A56DB"/>
          </w:tcPr>
          <w:p>
            <w:r>
              <w:rPr>
                <w:b/>
                <w:color w:val="FFFFFF"/>
                <w:sz w:val="19"/>
              </w:rPr>
              <w:t>Component</w:t>
            </w:r>
          </w:p>
        </w:tc>
        <w:tc>
          <w:tcPr>
            <w:tcW w:type="dxa" w:w="4896"/>
            <w:shd w:val="clear" w:color="auto" w:fill="1A56DB"/>
          </w:tcPr>
          <w:p>
            <w:r>
              <w:rPr>
                <w:b/>
                <w:color w:val="FFFFFF"/>
                <w:sz w:val="19"/>
              </w:rPr>
              <w:t>Purpose</w:t>
            </w:r>
          </w:p>
        </w:tc>
        <w:tc>
          <w:tcPr>
            <w:tcW w:type="dxa" w:w="1296"/>
            <w:shd w:val="clear" w:color="auto" w:fill="1A56DB"/>
          </w:tcPr>
          <w:p>
            <w:r>
              <w:rPr>
                <w:b/>
                <w:color w:val="FFFFFF"/>
                <w:sz w:val="19"/>
              </w:rPr>
              <w:t>Layer</w:t>
            </w:r>
          </w:p>
        </w:tc>
      </w:tr>
      <w:tr>
        <w:tc>
          <w:tcPr>
            <w:tcW w:type="dxa" w:w="2592"/>
          </w:tcPr>
          <w:p>
            <w:r>
              <w:rPr>
                <w:sz w:val="19"/>
              </w:rPr>
              <w:t>Gap Detector</w:t>
            </w:r>
          </w:p>
        </w:tc>
        <w:tc>
          <w:tcPr>
            <w:tcW w:type="dxa" w:w="4896"/>
          </w:tcPr>
          <w:p>
            <w:r>
              <w:rPr>
                <w:sz w:val="19"/>
              </w:rPr>
              <w:t>Days since last reading — flags urgency by risk tier</w:t>
            </w:r>
          </w:p>
        </w:tc>
        <w:tc>
          <w:tcPr>
            <w:tcW w:type="dxa" w:w="1296"/>
          </w:tcPr>
          <w:p>
            <w:r>
              <w:rPr>
                <w:sz w:val="19"/>
              </w:rPr>
              <w:t>Layer 1</w:t>
            </w:r>
          </w:p>
        </w:tc>
      </w:tr>
      <w:tr>
        <w:tc>
          <w:tcPr>
            <w:tcW w:type="dxa" w:w="2592"/>
            <w:shd w:val="clear" w:color="auto" w:fill="EBF5FB"/>
          </w:tcPr>
          <w:p>
            <w:r>
              <w:rPr>
                <w:sz w:val="19"/>
              </w:rPr>
              <w:t>Inertia Detector</w:t>
            </w:r>
          </w:p>
        </w:tc>
        <w:tc>
          <w:tcPr>
            <w:tcW w:type="dxa" w:w="4896"/>
            <w:shd w:val="clear" w:color="auto" w:fill="EBF5FB"/>
          </w:tcPr>
          <w:p>
            <w:r>
              <w:rPr>
                <w:sz w:val="19"/>
              </w:rPr>
              <w:t>Elevated BP for 7+ days with no medication change</w:t>
            </w:r>
          </w:p>
        </w:tc>
        <w:tc>
          <w:tcPr>
            <w:tcW w:type="dxa" w:w="1296"/>
            <w:shd w:val="clear" w:color="auto" w:fill="EBF5FB"/>
          </w:tcPr>
          <w:p>
            <w:r>
              <w:rPr>
                <w:sz w:val="19"/>
              </w:rPr>
              <w:t>Layer 1</w:t>
            </w:r>
          </w:p>
        </w:tc>
      </w:tr>
      <w:tr>
        <w:tc>
          <w:tcPr>
            <w:tcW w:type="dxa" w:w="2592"/>
          </w:tcPr>
          <w:p>
            <w:r>
              <w:rPr>
                <w:sz w:val="19"/>
              </w:rPr>
              <w:t>Adherence Analyzer</w:t>
            </w:r>
          </w:p>
        </w:tc>
        <w:tc>
          <w:tcPr>
            <w:tcW w:type="dxa" w:w="4896"/>
          </w:tcPr>
          <w:p>
            <w:r>
              <w:rPr>
                <w:sz w:val="19"/>
              </w:rPr>
              <w:t>Correlates missed doses with elevated readings — distinguishes adherence concern from treatment failure</w:t>
            </w:r>
          </w:p>
        </w:tc>
        <w:tc>
          <w:tcPr>
            <w:tcW w:type="dxa" w:w="1296"/>
          </w:tcPr>
          <w:p>
            <w:r>
              <w:rPr>
                <w:sz w:val="19"/>
              </w:rPr>
              <w:t>Layer 1</w:t>
            </w:r>
          </w:p>
        </w:tc>
      </w:tr>
      <w:tr>
        <w:tc>
          <w:tcPr>
            <w:tcW w:type="dxa" w:w="2592"/>
            <w:shd w:val="clear" w:color="auto" w:fill="EBF5FB"/>
          </w:tcPr>
          <w:p>
            <w:r>
              <w:rPr>
                <w:sz w:val="19"/>
              </w:rPr>
              <w:t>Deterioration Detector</w:t>
            </w:r>
          </w:p>
        </w:tc>
        <w:tc>
          <w:tcPr>
            <w:tcW w:type="dxa" w:w="4896"/>
            <w:shd w:val="clear" w:color="auto" w:fill="EBF5FB"/>
          </w:tcPr>
          <w:p>
            <w:r>
              <w:rPr>
                <w:sz w:val="19"/>
              </w:rPr>
              <w:t>Sustained worsening BP trend over time</w:t>
            </w:r>
          </w:p>
        </w:tc>
        <w:tc>
          <w:tcPr>
            <w:tcW w:type="dxa" w:w="1296"/>
            <w:shd w:val="clear" w:color="auto" w:fill="EBF5FB"/>
          </w:tcPr>
          <w:p>
            <w:r>
              <w:rPr>
                <w:sz w:val="19"/>
              </w:rPr>
              <w:t>Layer 1</w:t>
            </w:r>
          </w:p>
        </w:tc>
      </w:tr>
      <w:tr>
        <w:tc>
          <w:tcPr>
            <w:tcW w:type="dxa" w:w="2592"/>
          </w:tcPr>
          <w:p>
            <w:r>
              <w:rPr>
                <w:sz w:val="19"/>
              </w:rPr>
              <w:t>Risk Scorer</w:t>
            </w:r>
          </w:p>
        </w:tc>
        <w:tc>
          <w:tcPr>
            <w:tcW w:type="dxa" w:w="4896"/>
          </w:tcPr>
          <w:p>
            <w:r>
              <w:rPr>
                <w:sz w:val="19"/>
              </w:rPr>
              <w:t>Combines all Layer 1 outputs into a 0–100 priority score; stored on patient record for dashboard sorting</w:t>
            </w:r>
          </w:p>
        </w:tc>
        <w:tc>
          <w:tcPr>
            <w:tcW w:type="dxa" w:w="1296"/>
          </w:tcPr>
          <w:p>
            <w:r>
              <w:rPr>
                <w:sz w:val="19"/>
              </w:rPr>
              <w:t>Layer 2</w:t>
            </w:r>
          </w:p>
        </w:tc>
      </w:tr>
    </w:tbl>
    <w:p/>
    <w:p>
      <w:pPr>
        <w:spacing w:after="80"/>
      </w:pPr>
      <w:r>
        <w:rPr>
          <w:sz w:val="21"/>
        </w:rPr>
        <w:t>Without the pattern engine: no alerts are generated, the briefing visit agenda is empty, and patients cannot be sorted by clinical priority on the dashboard.</w:t>
      </w:r>
    </w:p>
    <w:p>
      <w:pPr>
        <w:spacing w:before="200" w:after="40"/>
      </w:pPr>
      <w:r>
        <w:rPr>
          <w:b/>
          <w:color w:val="1E3A5F"/>
          <w:sz w:val="26"/>
        </w:rPr>
        <w:t>3.2  API Layer</w:t>
      </w:r>
    </w:p>
    <w:p>
      <w:pPr>
        <w:spacing w:after="80"/>
      </w:pPr>
      <w:r>
        <w:rPr>
          <w:sz w:val="21"/>
        </w:rPr>
        <w:t>No HTTP endpoints exist. The application cannot receive data from outside or serve data to a frontend. Six endpoints are required:</w:t>
      </w:r>
    </w:p>
    <w:tbl>
      <w:tblPr>
        <w:tblStyle w:val="TableGrid"/>
        <w:tblW w:type="auto" w:w="0"/>
        <w:jc w:val="left"/>
        <w:tblLook w:firstColumn="1" w:firstRow="1" w:lastColumn="0" w:lastRow="0" w:noHBand="0" w:noVBand="1" w:val="04A0"/>
      </w:tblPr>
      <w:tblGrid>
        <w:gridCol w:w="2928"/>
        <w:gridCol w:w="2928"/>
        <w:gridCol w:w="2928"/>
      </w:tblGrid>
      <w:tr>
        <w:tc>
          <w:tcPr>
            <w:tcW w:type="dxa" w:w="3456"/>
            <w:shd w:val="clear" w:color="auto" w:fill="1A56DB"/>
          </w:tcPr>
          <w:p>
            <w:r>
              <w:rPr>
                <w:b/>
                <w:color w:val="FFFFFF"/>
                <w:sz w:val="19"/>
              </w:rPr>
              <w:t>Endpoint</w:t>
            </w:r>
          </w:p>
        </w:tc>
        <w:tc>
          <w:tcPr>
            <w:tcW w:type="dxa" w:w="1296"/>
            <w:shd w:val="clear" w:color="auto" w:fill="1A56DB"/>
          </w:tcPr>
          <w:p>
            <w:r>
              <w:rPr>
                <w:b/>
                <w:color w:val="FFFFFF"/>
                <w:sz w:val="19"/>
              </w:rPr>
              <w:t>Method</w:t>
            </w:r>
          </w:p>
        </w:tc>
        <w:tc>
          <w:tcPr>
            <w:tcW w:type="dxa" w:w="4320"/>
            <w:shd w:val="clear" w:color="auto" w:fill="1A56DB"/>
          </w:tcPr>
          <w:p>
            <w:r>
              <w:rPr>
                <w:b/>
                <w:color w:val="FFFFFF"/>
                <w:sz w:val="19"/>
              </w:rPr>
              <w:t>Purpose</w:t>
            </w:r>
          </w:p>
        </w:tc>
      </w:tr>
      <w:tr>
        <w:tc>
          <w:tcPr>
            <w:tcW w:type="dxa" w:w="3456"/>
          </w:tcPr>
          <w:p>
            <w:r>
              <w:rPr>
                <w:sz w:val="19"/>
              </w:rPr>
              <w:t>/api/ingest</w:t>
            </w:r>
          </w:p>
        </w:tc>
        <w:tc>
          <w:tcPr>
            <w:tcW w:type="dxa" w:w="1296"/>
          </w:tcPr>
          <w:p>
            <w:r>
              <w:rPr>
                <w:sz w:val="19"/>
              </w:rPr>
              <w:t>POST</w:t>
            </w:r>
          </w:p>
        </w:tc>
        <w:tc>
          <w:tcPr>
            <w:tcW w:type="dxa" w:w="4320"/>
          </w:tcPr>
          <w:p>
            <w:r>
              <w:rPr>
                <w:sz w:val="19"/>
              </w:rPr>
              <w:t>Accept FHIR Bundle, enqueue ingestion job</w:t>
            </w:r>
          </w:p>
        </w:tc>
      </w:tr>
      <w:tr>
        <w:tc>
          <w:tcPr>
            <w:tcW w:type="dxa" w:w="3456"/>
            <w:shd w:val="clear" w:color="auto" w:fill="EBF5FB"/>
          </w:tcPr>
          <w:p>
            <w:r>
              <w:rPr>
                <w:sz w:val="19"/>
              </w:rPr>
              <w:t>/api/readings</w:t>
            </w:r>
          </w:p>
        </w:tc>
        <w:tc>
          <w:tcPr>
            <w:tcW w:type="dxa" w:w="1296"/>
            <w:shd w:val="clear" w:color="auto" w:fill="EBF5FB"/>
          </w:tcPr>
          <w:p>
            <w:r>
              <w:rPr>
                <w:sz w:val="19"/>
              </w:rPr>
              <w:t>POST</w:t>
            </w:r>
          </w:p>
        </w:tc>
        <w:tc>
          <w:tcPr>
            <w:tcW w:type="dxa" w:w="4320"/>
            <w:shd w:val="clear" w:color="auto" w:fill="EBF5FB"/>
          </w:tcPr>
          <w:p>
            <w:r>
              <w:rPr>
                <w:sz w:val="19"/>
              </w:rPr>
              <w:t>Accept home BP readings, trigger pattern recompute</w:t>
            </w:r>
          </w:p>
        </w:tc>
      </w:tr>
      <w:tr>
        <w:tc>
          <w:tcPr>
            <w:tcW w:type="dxa" w:w="3456"/>
          </w:tcPr>
          <w:p>
            <w:r>
              <w:rPr>
                <w:sz w:val="19"/>
              </w:rPr>
              <w:t>/api/patients</w:t>
            </w:r>
          </w:p>
        </w:tc>
        <w:tc>
          <w:tcPr>
            <w:tcW w:type="dxa" w:w="1296"/>
          </w:tcPr>
          <w:p>
            <w:r>
              <w:rPr>
                <w:sz w:val="19"/>
              </w:rPr>
              <w:t>GET</w:t>
            </w:r>
          </w:p>
        </w:tc>
        <w:tc>
          <w:tcPr>
            <w:tcW w:type="dxa" w:w="4320"/>
          </w:tcPr>
          <w:p>
            <w:r>
              <w:rPr>
                <w:sz w:val="19"/>
              </w:rPr>
              <w:t>Patient list with tier + score for dashboard</w:t>
            </w:r>
          </w:p>
        </w:tc>
      </w:tr>
      <w:tr>
        <w:tc>
          <w:tcPr>
            <w:tcW w:type="dxa" w:w="3456"/>
            <w:shd w:val="clear" w:color="auto" w:fill="EBF5FB"/>
          </w:tcPr>
          <w:p>
            <w:r>
              <w:rPr>
                <w:sz w:val="19"/>
              </w:rPr>
              <w:t>/api/briefings/{patient_id}</w:t>
            </w:r>
          </w:p>
        </w:tc>
        <w:tc>
          <w:tcPr>
            <w:tcW w:type="dxa" w:w="1296"/>
            <w:shd w:val="clear" w:color="auto" w:fill="EBF5FB"/>
          </w:tcPr>
          <w:p>
            <w:r>
              <w:rPr>
                <w:sz w:val="19"/>
              </w:rPr>
              <w:t>GET</w:t>
            </w:r>
          </w:p>
        </w:tc>
        <w:tc>
          <w:tcPr>
            <w:tcW w:type="dxa" w:w="4320"/>
            <w:shd w:val="clear" w:color="auto" w:fill="EBF5FB"/>
          </w:tcPr>
          <w:p>
            <w:r>
              <w:rPr>
                <w:sz w:val="19"/>
              </w:rPr>
              <w:t>Pre-visit briefing for appointment day</w:t>
            </w:r>
          </w:p>
        </w:tc>
      </w:tr>
      <w:tr>
        <w:tc>
          <w:tcPr>
            <w:tcW w:type="dxa" w:w="3456"/>
          </w:tcPr>
          <w:p>
            <w:r>
              <w:rPr>
                <w:sz w:val="19"/>
              </w:rPr>
              <w:t>/api/alerts</w:t>
            </w:r>
          </w:p>
        </w:tc>
        <w:tc>
          <w:tcPr>
            <w:tcW w:type="dxa" w:w="1296"/>
          </w:tcPr>
          <w:p>
            <w:r>
              <w:rPr>
                <w:sz w:val="19"/>
              </w:rPr>
              <w:t>GET</w:t>
            </w:r>
          </w:p>
        </w:tc>
        <w:tc>
          <w:tcPr>
            <w:tcW w:type="dxa" w:w="4320"/>
          </w:tcPr>
          <w:p>
            <w:r>
              <w:rPr>
                <w:sz w:val="19"/>
              </w:rPr>
              <w:t>Alert inbox (unacknowledged alerts)</w:t>
            </w:r>
          </w:p>
        </w:tc>
      </w:tr>
      <w:tr>
        <w:tc>
          <w:tcPr>
            <w:tcW w:type="dxa" w:w="3456"/>
            <w:shd w:val="clear" w:color="auto" w:fill="EBF5FB"/>
          </w:tcPr>
          <w:p>
            <w:r>
              <w:rPr>
                <w:sz w:val="19"/>
              </w:rPr>
              <w:t>/api/admin/trigger-scheduler</w:t>
            </w:r>
          </w:p>
        </w:tc>
        <w:tc>
          <w:tcPr>
            <w:tcW w:type="dxa" w:w="1296"/>
            <w:shd w:val="clear" w:color="auto" w:fill="EBF5FB"/>
          </w:tcPr>
          <w:p>
            <w:r>
              <w:rPr>
                <w:sz w:val="19"/>
              </w:rPr>
              <w:t>POST</w:t>
            </w:r>
          </w:p>
        </w:tc>
        <w:tc>
          <w:tcPr>
            <w:tcW w:type="dxa" w:w="4320"/>
            <w:shd w:val="clear" w:color="auto" w:fill="EBF5FB"/>
          </w:tcPr>
          <w:p>
            <w:r>
              <w:rPr>
                <w:sz w:val="19"/>
              </w:rPr>
              <w:t>Manually trigger 7:30 AM logic for demo</w:t>
            </w:r>
          </w:p>
        </w:tc>
      </w:tr>
    </w:tbl>
    <w:p/>
    <w:p>
      <w:pPr>
        <w:spacing w:after="80"/>
      </w:pPr>
      <w:r>
        <w:rPr>
          <w:sz w:val="21"/>
        </w:rPr>
        <w:t>Also needed: JWT authentication middleware, clinician/admin role enforcement, request validation, and CORS configuration.</w:t>
      </w:r>
    </w:p>
    <w:p>
      <w:pPr>
        <w:spacing w:before="200" w:after="40"/>
      </w:pPr>
      <w:r>
        <w:rPr>
          <w:b/>
          <w:color w:val="1E3A5F"/>
          <w:sz w:val="26"/>
        </w:rPr>
        <w:t>3.3  Frontend / Clinician UI</w:t>
      </w:r>
    </w:p>
    <w:p>
      <w:pPr>
        <w:spacing w:after="80"/>
      </w:pPr>
      <w:r>
        <w:rPr>
          <w:sz w:val="21"/>
        </w:rPr>
        <w:t>The entire clinician-facing interface is empty placeholder directories. Required components:</w:t>
      </w:r>
    </w:p>
    <w:tbl>
      <w:tblPr>
        <w:tblStyle w:val="TableGrid"/>
        <w:tblW w:type="auto" w:w="0"/>
        <w:jc w:val="left"/>
        <w:tblLook w:firstColumn="1" w:firstRow="1" w:lastColumn="0" w:lastRow="0" w:noHBand="0" w:noVBand="1" w:val="04A0"/>
      </w:tblPr>
      <w:tblGrid>
        <w:gridCol w:w="4392"/>
        <w:gridCol w:w="4392"/>
      </w:tblGrid>
      <w:tr>
        <w:tc>
          <w:tcPr>
            <w:tcW w:type="dxa" w:w="3168"/>
            <w:shd w:val="clear" w:color="auto" w:fill="1A56DB"/>
          </w:tcPr>
          <w:p>
            <w:r>
              <w:rPr>
                <w:b/>
                <w:color w:val="FFFFFF"/>
                <w:sz w:val="19"/>
              </w:rPr>
              <w:t>Component</w:t>
            </w:r>
          </w:p>
        </w:tc>
        <w:tc>
          <w:tcPr>
            <w:tcW w:type="dxa" w:w="5760"/>
            <w:shd w:val="clear" w:color="auto" w:fill="1A56DB"/>
          </w:tcPr>
          <w:p>
            <w:r>
              <w:rPr>
                <w:b/>
                <w:color w:val="FFFFFF"/>
                <w:sz w:val="19"/>
              </w:rPr>
              <w:t>Purpose</w:t>
            </w:r>
          </w:p>
        </w:tc>
      </w:tr>
      <w:tr>
        <w:tc>
          <w:tcPr>
            <w:tcW w:type="dxa" w:w="3168"/>
          </w:tcPr>
          <w:p>
            <w:r>
              <w:rPr>
                <w:sz w:val="19"/>
              </w:rPr>
              <w:t>Patient Dashboard</w:t>
            </w:r>
          </w:p>
        </w:tc>
        <w:tc>
          <w:tcPr>
            <w:tcW w:type="dxa" w:w="5760"/>
          </w:tcPr>
          <w:p>
            <w:r>
              <w:rPr>
                <w:sz w:val="19"/>
              </w:rPr>
              <w:t>List of patients sorted by risk tier then priority score</w:t>
            </w:r>
          </w:p>
        </w:tc>
      </w:tr>
      <w:tr>
        <w:tc>
          <w:tcPr>
            <w:tcW w:type="dxa" w:w="3168"/>
            <w:shd w:val="clear" w:color="auto" w:fill="EBF5FB"/>
          </w:tcPr>
          <w:p>
            <w:r>
              <w:rPr>
                <w:sz w:val="19"/>
              </w:rPr>
              <w:t>Risk Tier Badge</w:t>
            </w:r>
          </w:p>
        </w:tc>
        <w:tc>
          <w:tcPr>
            <w:tcW w:type="dxa" w:w="5760"/>
            <w:shd w:val="clear" w:color="auto" w:fill="EBF5FB"/>
          </w:tcPr>
          <w:p>
            <w:r>
              <w:rPr>
                <w:sz w:val="19"/>
              </w:rPr>
              <w:t>High / Medium / Low visual indicator</w:t>
            </w:r>
          </w:p>
        </w:tc>
      </w:tr>
      <w:tr>
        <w:tc>
          <w:tcPr>
            <w:tcW w:type="dxa" w:w="3168"/>
          </w:tcPr>
          <w:p>
            <w:r>
              <w:rPr>
                <w:sz w:val="19"/>
              </w:rPr>
              <w:t>Risk Score Bar</w:t>
            </w:r>
          </w:p>
        </w:tc>
        <w:tc>
          <w:tcPr>
            <w:tcW w:type="dxa" w:w="5760"/>
          </w:tcPr>
          <w:p>
            <w:r>
              <w:rPr>
                <w:sz w:val="19"/>
              </w:rPr>
              <w:t>0–100 visual priority bar (Layer 2 output)</w:t>
            </w:r>
          </w:p>
        </w:tc>
      </w:tr>
      <w:tr>
        <w:tc>
          <w:tcPr>
            <w:tcW w:type="dxa" w:w="3168"/>
            <w:shd w:val="clear" w:color="auto" w:fill="EBF5FB"/>
          </w:tcPr>
          <w:p>
            <w:r>
              <w:rPr>
                <w:sz w:val="19"/>
              </w:rPr>
              <w:t>Alert Inbox</w:t>
            </w:r>
          </w:p>
        </w:tc>
        <w:tc>
          <w:tcPr>
            <w:tcW w:type="dxa" w:w="5760"/>
            <w:shd w:val="clear" w:color="auto" w:fill="EBF5FB"/>
          </w:tcPr>
          <w:p>
            <w:r>
              <w:rPr>
                <w:sz w:val="19"/>
              </w:rPr>
              <w:t>Urgent unacknowledged alerts for the GP</w:t>
            </w:r>
          </w:p>
        </w:tc>
      </w:tr>
      <w:tr>
        <w:tc>
          <w:tcPr>
            <w:tcW w:type="dxa" w:w="3168"/>
          </w:tcPr>
          <w:p>
            <w:r>
              <w:rPr>
                <w:sz w:val="19"/>
              </w:rPr>
              <w:t>Briefing Card</w:t>
            </w:r>
          </w:p>
        </w:tc>
        <w:tc>
          <w:tcPr>
            <w:tcW w:type="dxa" w:w="5760"/>
          </w:tcPr>
          <w:p>
            <w:r>
              <w:rPr>
                <w:sz w:val="19"/>
              </w:rPr>
              <w:t>Full pre-visit briefing display</w:t>
            </w:r>
          </w:p>
        </w:tc>
      </w:tr>
      <w:tr>
        <w:tc>
          <w:tcPr>
            <w:tcW w:type="dxa" w:w="3168"/>
            <w:shd w:val="clear" w:color="auto" w:fill="EBF5FB"/>
          </w:tcPr>
          <w:p>
            <w:r>
              <w:rPr>
                <w:sz w:val="19"/>
              </w:rPr>
              <w:t>BP Sparkline Chart</w:t>
            </w:r>
          </w:p>
        </w:tc>
        <w:tc>
          <w:tcPr>
            <w:tcW w:type="dxa" w:w="5760"/>
            <w:shd w:val="clear" w:color="auto" w:fill="EBF5FB"/>
          </w:tcPr>
          <w:p>
            <w:r>
              <w:rPr>
                <w:sz w:val="19"/>
              </w:rPr>
              <w:t>28-day blood pressure trend (recharts)</w:t>
            </w:r>
          </w:p>
        </w:tc>
      </w:tr>
      <w:tr>
        <w:tc>
          <w:tcPr>
            <w:tcW w:type="dxa" w:w="3168"/>
          </w:tcPr>
          <w:p>
            <w:r>
              <w:rPr>
                <w:sz w:val="19"/>
              </w:rPr>
              <w:t>Adherence Summary</w:t>
            </w:r>
          </w:p>
        </w:tc>
        <w:tc>
          <w:tcPr>
            <w:tcW w:type="dxa" w:w="5760"/>
          </w:tcPr>
          <w:p>
            <w:r>
              <w:rPr>
                <w:sz w:val="19"/>
              </w:rPr>
              <w:t>Adherence rate per medication</w:t>
            </w:r>
          </w:p>
        </w:tc>
      </w:tr>
      <w:tr>
        <w:tc>
          <w:tcPr>
            <w:tcW w:type="dxa" w:w="3168"/>
            <w:shd w:val="clear" w:color="auto" w:fill="EBF5FB"/>
          </w:tcPr>
          <w:p>
            <w:r>
              <w:rPr>
                <w:sz w:val="19"/>
              </w:rPr>
              <w:t>Visit Agenda</w:t>
            </w:r>
          </w:p>
        </w:tc>
        <w:tc>
          <w:tcPr>
            <w:tcW w:type="dxa" w:w="5760"/>
            <w:shd w:val="clear" w:color="auto" w:fill="EBF5FB"/>
          </w:tcPr>
          <w:p>
            <w:r>
              <w:rPr>
                <w:sz w:val="19"/>
              </w:rPr>
              <w:t>Prioritised consultation action items</w:t>
            </w:r>
          </w:p>
        </w:tc>
      </w:tr>
      <w:tr>
        <w:tc>
          <w:tcPr>
            <w:tcW w:type="dxa" w:w="3168"/>
          </w:tcPr>
          <w:p>
            <w:r>
              <w:rPr>
                <w:sz w:val="19"/>
              </w:rPr>
              <w:t>Shared: Patient Header</w:t>
            </w:r>
          </w:p>
        </w:tc>
        <w:tc>
          <w:tcPr>
            <w:tcW w:type="dxa" w:w="5760"/>
          </w:tcPr>
          <w:p>
            <w:r>
              <w:rPr>
                <w:sz w:val="19"/>
              </w:rPr>
              <w:t>Reusable patient info bar</w:t>
            </w:r>
          </w:p>
        </w:tc>
      </w:tr>
      <w:tr>
        <w:tc>
          <w:tcPr>
            <w:tcW w:type="dxa" w:w="3168"/>
            <w:shd w:val="clear" w:color="auto" w:fill="EBF5FB"/>
          </w:tcPr>
          <w:p>
            <w:r>
              <w:rPr>
                <w:sz w:val="19"/>
              </w:rPr>
              <w:t>lib/api.ts</w:t>
            </w:r>
          </w:p>
        </w:tc>
        <w:tc>
          <w:tcPr>
            <w:tcW w:type="dxa" w:w="5760"/>
            <w:shd w:val="clear" w:color="auto" w:fill="EBF5FB"/>
          </w:tcPr>
          <w:p>
            <w:r>
              <w:rPr>
                <w:sz w:val="19"/>
              </w:rPr>
              <w:t>Centralised API client (all calls routed here)</w:t>
            </w:r>
          </w:p>
        </w:tc>
      </w:tr>
      <w:tr>
        <w:tc>
          <w:tcPr>
            <w:tcW w:type="dxa" w:w="3168"/>
          </w:tcPr>
          <w:p>
            <w:r>
              <w:rPr>
                <w:sz w:val="19"/>
              </w:rPr>
              <w:t>lib/types.ts</w:t>
            </w:r>
          </w:p>
        </w:tc>
        <w:tc>
          <w:tcPr>
            <w:tcW w:type="dxa" w:w="5760"/>
          </w:tcPr>
          <w:p>
            <w:r>
              <w:rPr>
                <w:sz w:val="19"/>
              </w:rPr>
              <w:t>Shared TypeScript interfaces</w:t>
            </w:r>
          </w:p>
        </w:tc>
      </w:tr>
      <w:tr>
        <w:tc>
          <w:tcPr>
            <w:tcW w:type="dxa" w:w="3168"/>
            <w:shd w:val="clear" w:color="auto" w:fill="EBF5FB"/>
          </w:tcPr>
          <w:p>
            <w:r>
              <w:rPr>
                <w:sz w:val="19"/>
              </w:rPr>
              <w:t>lib/auth.ts</w:t>
            </w:r>
          </w:p>
        </w:tc>
        <w:tc>
          <w:tcPr>
            <w:tcW w:type="dxa" w:w="5760"/>
            <w:shd w:val="clear" w:color="auto" w:fill="EBF5FB"/>
          </w:tcPr>
          <w:p>
            <w:r>
              <w:rPr>
                <w:sz w:val="19"/>
              </w:rPr>
              <w:t>JWT / authentication utilities</w:t>
            </w:r>
          </w:p>
        </w:tc>
      </w:tr>
    </w:tbl>
    <w:p/>
    <w:p>
      <w:pPr>
        <w:spacing w:before="80" w:after="80"/>
        <w:pBdr>
          <w:bottom w:val="single" w:sz="6" w:space="1" w:color="BBBBBB"/>
        </w:pBdr>
      </w:pPr>
    </w:p>
    <w:p>
      <w:pPr>
        <w:spacing w:before="280" w:after="80"/>
      </w:pPr>
      <w:r>
        <w:rPr>
          <w:b/>
          <w:color w:val="1A56DB"/>
          <w:sz w:val="36"/>
        </w:rPr>
        <w:t>4. Known Issues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432"/>
            <w:shd w:val="clear" w:color="auto" w:fill="1A56DB"/>
          </w:tcPr>
          <w:p>
            <w:r>
              <w:rPr>
                <w:b/>
                <w:color w:val="FFFFFF"/>
                <w:sz w:val="19"/>
              </w:rPr>
              <w:t>#</w:t>
            </w:r>
          </w:p>
        </w:tc>
        <w:tc>
          <w:tcPr>
            <w:tcW w:type="dxa" w:w="3744"/>
            <w:shd w:val="clear" w:color="auto" w:fill="1A56DB"/>
          </w:tcPr>
          <w:p>
            <w:r>
              <w:rPr>
                <w:b/>
                <w:color w:val="FFFFFF"/>
                <w:sz w:val="19"/>
              </w:rPr>
              <w:t>Issue</w:t>
            </w:r>
          </w:p>
        </w:tc>
        <w:tc>
          <w:tcPr>
            <w:tcW w:type="dxa" w:w="2592"/>
            <w:shd w:val="clear" w:color="auto" w:fill="1A56DB"/>
          </w:tcPr>
          <w:p>
            <w:r>
              <w:rPr>
                <w:b/>
                <w:color w:val="FFFFFF"/>
                <w:sz w:val="19"/>
              </w:rPr>
              <w:t>Impact</w:t>
            </w:r>
          </w:p>
        </w:tc>
        <w:tc>
          <w:tcPr>
            <w:tcW w:type="dxa" w:w="2448"/>
            <w:shd w:val="clear" w:color="auto" w:fill="1A56DB"/>
          </w:tcPr>
          <w:p>
            <w:r>
              <w:rPr>
                <w:b/>
                <w:color w:val="FFFFFF"/>
                <w:sz w:val="19"/>
              </w:rPr>
              <w:t>Fix</w:t>
            </w:r>
          </w:p>
        </w:tc>
      </w:tr>
      <w:tr>
        <w:tc>
          <w:tcPr>
            <w:tcW w:type="dxa" w:w="432"/>
          </w:tcPr>
          <w:p>
            <w:r>
              <w:rPr>
                <w:sz w:val="19"/>
              </w:rPr>
              <w:t>1</w:t>
            </w:r>
          </w:p>
        </w:tc>
        <w:tc>
          <w:tcPr>
            <w:tcW w:type="dxa" w:w="3744"/>
          </w:tcPr>
          <w:p>
            <w:r>
              <w:rPr>
                <w:sz w:val="19"/>
              </w:rPr>
              <w:t>Supabase project may be paused (free tier) — last connection failed Apr 12</w:t>
            </w:r>
          </w:p>
        </w:tc>
        <w:tc>
          <w:tcPr>
            <w:tcW w:type="dxa" w:w="2592"/>
          </w:tcPr>
          <w:p>
            <w:r>
              <w:rPr>
                <w:sz w:val="19"/>
              </w:rPr>
              <w:t>Blocks all live DB work</w:t>
            </w:r>
          </w:p>
        </w:tc>
        <w:tc>
          <w:tcPr>
            <w:tcW w:type="dxa" w:w="2448"/>
          </w:tcPr>
          <w:p>
            <w:r>
              <w:rPr>
                <w:sz w:val="19"/>
              </w:rPr>
              <w:t>Un-pause project in Supabase dashboard</w:t>
            </w:r>
          </w:p>
        </w:tc>
      </w:tr>
      <w:tr>
        <w:tc>
          <w:tcPr>
            <w:tcW w:type="dxa" w:w="432"/>
            <w:shd w:val="clear" w:color="auto" w:fill="EBF5FB"/>
          </w:tcPr>
          <w:p>
            <w:r>
              <w:rPr>
                <w:sz w:val="19"/>
              </w:rPr>
              <w:t>2</w:t>
            </w:r>
          </w:p>
        </w:tc>
        <w:tc>
          <w:tcPr>
            <w:tcW w:type="dxa" w:w="3744"/>
            <w:shd w:val="clear" w:color="auto" w:fill="EBF5FB"/>
          </w:tcPr>
          <w:p>
            <w:r>
              <w:rPr>
                <w:sz w:val="19"/>
              </w:rPr>
              <w:t>Synthetic evening BP offset can occasionally produce 12 mmHg morning/evening gap (spec max 10 mmHg)</w:t>
            </w:r>
          </w:p>
        </w:tc>
        <w:tc>
          <w:tcPr>
            <w:tcW w:type="dxa" w:w="2592"/>
            <w:shd w:val="clear" w:color="auto" w:fill="EBF5FB"/>
          </w:tcPr>
          <w:p>
            <w:r>
              <w:rPr>
                <w:sz w:val="19"/>
              </w:rPr>
              <w:t>Minor clinical realism issue</w:t>
            </w:r>
          </w:p>
        </w:tc>
        <w:tc>
          <w:tcPr>
            <w:tcW w:type="dxa" w:w="2448"/>
            <w:shd w:val="clear" w:color="auto" w:fill="EBF5FB"/>
          </w:tcPr>
          <w:p>
            <w:r>
              <w:rPr>
                <w:sz w:val="19"/>
              </w:rPr>
              <w:t>One-line constant change in reading_generator.py</w:t>
            </w:r>
          </w:p>
        </w:tc>
      </w:tr>
      <w:tr>
        <w:tc>
          <w:tcPr>
            <w:tcW w:type="dxa" w:w="432"/>
          </w:tcPr>
          <w:p>
            <w:r>
              <w:rPr>
                <w:sz w:val="19"/>
              </w:rPr>
              <w:t>3</w:t>
            </w:r>
          </w:p>
        </w:tc>
        <w:tc>
          <w:tcPr>
            <w:tcW w:type="dxa" w:w="3744"/>
          </w:tcPr>
          <w:p>
            <w:r>
              <w:rPr>
                <w:sz w:val="19"/>
              </w:rPr>
              <w:t>.env file is in the wrong directory (backend/backend/.env vs backend/.env)</w:t>
            </w:r>
          </w:p>
        </w:tc>
        <w:tc>
          <w:tcPr>
            <w:tcW w:type="dxa" w:w="2592"/>
          </w:tcPr>
          <w:p>
            <w:r>
              <w:rPr>
                <w:sz w:val="19"/>
              </w:rPr>
              <w:t>Uvicorn server will not start</w:t>
            </w:r>
          </w:p>
        </w:tc>
        <w:tc>
          <w:tcPr>
            <w:tcW w:type="dxa" w:w="2448"/>
          </w:tcPr>
          <w:p>
            <w:r>
              <w:rPr>
                <w:sz w:val="19"/>
              </w:rPr>
              <w:t>Move file one level up before running API</w:t>
            </w:r>
          </w:p>
        </w:tc>
      </w:tr>
    </w:tbl>
    <w:p/>
    <w:p>
      <w:pPr>
        <w:spacing w:before="80" w:after="80"/>
        <w:pBdr>
          <w:bottom w:val="single" w:sz="6" w:space="1" w:color="BBBBBB"/>
        </w:pBdr>
      </w:pPr>
    </w:p>
    <w:p>
      <w:pPr>
        <w:spacing w:before="280" w:after="80"/>
      </w:pPr>
      <w:r>
        <w:rPr>
          <w:b/>
          <w:color w:val="1A56DB"/>
          <w:sz w:val="36"/>
        </w:rPr>
        <w:t>5. Critical Path to MVP</w:t>
      </w:r>
    </w:p>
    <w:p>
      <w:pPr>
        <w:spacing w:after="80"/>
      </w:pPr>
      <w:r>
        <w:rPr>
          <w:sz w:val="21"/>
        </w:rPr>
        <w:t>The remaining work must be completed in sequence — each layer depends on the one before it.</w:t>
      </w:r>
    </w:p>
    <w:tbl>
      <w:tblPr>
        <w:tblStyle w:val="TableGrid"/>
        <w:tblW w:type="auto" w:w="0"/>
        <w:jc w:val="left"/>
        <w:tblLook w:firstColumn="1" w:firstRow="1" w:lastColumn="0" w:lastRow="0" w:noHBand="0" w:noVBand="1" w:val="04A0"/>
      </w:tblPr>
      <w:tblGrid>
        <w:gridCol w:w="2928"/>
        <w:gridCol w:w="2928"/>
        <w:gridCol w:w="2928"/>
      </w:tblGrid>
      <w:tr>
        <w:tc>
          <w:tcPr>
            <w:tcW w:type="dxa" w:w="720"/>
            <w:shd w:val="clear" w:color="auto" w:fill="1A56DB"/>
          </w:tcPr>
          <w:p>
            <w:r>
              <w:rPr>
                <w:b/>
                <w:color w:val="FFFFFF"/>
                <w:sz w:val="19"/>
              </w:rPr>
              <w:t>Step</w:t>
            </w:r>
          </w:p>
        </w:tc>
        <w:tc>
          <w:tcPr>
            <w:tcW w:type="dxa" w:w="4320"/>
            <w:shd w:val="clear" w:color="auto" w:fill="1A56DB"/>
          </w:tcPr>
          <w:p>
            <w:r>
              <w:rPr>
                <w:b/>
                <w:color w:val="FFFFFF"/>
                <w:sz w:val="19"/>
              </w:rPr>
              <w:t>Work</w:t>
            </w:r>
          </w:p>
        </w:tc>
        <w:tc>
          <w:tcPr>
            <w:tcW w:type="dxa" w:w="4032"/>
            <w:shd w:val="clear" w:color="auto" w:fill="1A56DB"/>
          </w:tcPr>
          <w:p>
            <w:r>
              <w:rPr>
                <w:b/>
                <w:color w:val="FFFFFF"/>
                <w:sz w:val="19"/>
              </w:rPr>
              <w:t>Depends On</w:t>
            </w:r>
          </w:p>
        </w:tc>
      </w:tr>
      <w:tr>
        <w:tc>
          <w:tcPr>
            <w:tcW w:type="dxa" w:w="720"/>
          </w:tcPr>
          <w:p>
            <w:r>
              <w:rPr>
                <w:sz w:val="19"/>
              </w:rPr>
              <w:t>1</w:t>
            </w:r>
          </w:p>
        </w:tc>
        <w:tc>
          <w:tcPr>
            <w:tcW w:type="dxa" w:w="4320"/>
          </w:tcPr>
          <w:p>
            <w:r>
              <w:rPr>
                <w:sz w:val="19"/>
              </w:rPr>
              <w:t>Pattern Engine (5 detectors + risk scorer)</w:t>
            </w:r>
          </w:p>
        </w:tc>
        <w:tc>
          <w:tcPr>
            <w:tcW w:type="dxa" w:w="4032"/>
          </w:tcPr>
          <w:p>
            <w:r>
              <w:rPr>
                <w:sz w:val="19"/>
              </w:rPr>
              <w:t>Existing DB + generators — ready now</w:t>
            </w:r>
          </w:p>
        </w:tc>
      </w:tr>
      <w:tr>
        <w:tc>
          <w:tcPr>
            <w:tcW w:type="dxa" w:w="720"/>
            <w:shd w:val="clear" w:color="auto" w:fill="EBF5FB"/>
          </w:tcPr>
          <w:p>
            <w:r>
              <w:rPr>
                <w:sz w:val="19"/>
              </w:rPr>
              <w:t>2</w:t>
            </w:r>
          </w:p>
        </w:tc>
        <w:tc>
          <w:tcPr>
            <w:tcW w:type="dxa" w:w="4320"/>
            <w:shd w:val="clear" w:color="auto" w:fill="EBF5FB"/>
          </w:tcPr>
          <w:p>
            <w:r>
              <w:rPr>
                <w:sz w:val="19"/>
              </w:rPr>
              <w:t>API Layer (6 endpoints + auth + validation)</w:t>
            </w:r>
          </w:p>
        </w:tc>
        <w:tc>
          <w:tcPr>
            <w:tcW w:type="dxa" w:w="4032"/>
            <w:shd w:val="clear" w:color="auto" w:fill="EBF5FB"/>
          </w:tcPr>
          <w:p>
            <w:r>
              <w:rPr>
                <w:sz w:val="19"/>
              </w:rPr>
              <w:t>Pattern engine complete</w:t>
            </w:r>
          </w:p>
        </w:tc>
      </w:tr>
      <w:tr>
        <w:tc>
          <w:tcPr>
            <w:tcW w:type="dxa" w:w="720"/>
          </w:tcPr>
          <w:p>
            <w:r>
              <w:rPr>
                <w:sz w:val="19"/>
              </w:rPr>
              <w:t>3</w:t>
            </w:r>
          </w:p>
        </w:tc>
        <w:tc>
          <w:tcPr>
            <w:tcW w:type="dxa" w:w="4320"/>
          </w:tcPr>
          <w:p>
            <w:r>
              <w:rPr>
                <w:sz w:val="19"/>
              </w:rPr>
              <w:t>Frontend (dashboard + briefing UI + charts)</w:t>
            </w:r>
          </w:p>
        </w:tc>
        <w:tc>
          <w:tcPr>
            <w:tcW w:type="dxa" w:w="4032"/>
          </w:tcPr>
          <w:p>
            <w:r>
              <w:rPr>
                <w:sz w:val="19"/>
              </w:rPr>
              <w:t>API layer complete</w:t>
            </w:r>
          </w:p>
        </w:tc>
      </w:tr>
    </w:tbl>
    <w:p/>
    <w:p>
      <w:pPr>
        <w:spacing w:after="80"/>
      </w:pPr>
      <w:r>
        <w:rPr>
          <w:sz w:val="21"/>
        </w:rPr>
        <w:t>Current operational capability: The data ingestion pipeline works end-to-end (iEMR → FHIR → PostgreSQL → synthetic readings). The briefing composer produces valid JSON. No API or UI exists to access any of it yet.</w:t>
      </w:r>
    </w:p>
    <w:p>
      <w:pPr>
        <w:spacing w:before="80" w:after="80"/>
        <w:pBdr>
          <w:bottom w:val="single" w:sz="6" w:space="1" w:color="BBBBBB"/>
        </w:pBdr>
      </w:pPr>
    </w:p>
    <w:p>
      <w:pPr>
        <w:jc w:val="center"/>
      </w:pPr>
      <w:r>
        <w:rPr>
          <w:color w:val="AAAAAA"/>
          <w:sz w:val="16"/>
        </w:rPr>
        <w:t>ARIA v4.3  |  Leap of Faith Technologies  |  IIT CS 595 Spring 2026  |  Confidential — Clinical Decision Support Research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