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color w:val="111827"/>
          <w:sz w:val="22"/>
          <w:szCs w:val="22"/>
        </w:rPr>
        <w:t xml:space="preserve"/>
      </w:r>
    </w:p>
    <w:p>
      <w:pPr>
        <w:spacing w:after="160" w:before="0"/>
        <w:jc w:val="center"/>
      </w:pPr>
      <w:r>
        <w:rPr>
          <w:rFonts w:ascii="Arial" w:cs="Arial" w:eastAsia="Arial" w:hAnsi="Arial"/>
          <w:b/>
          <w:bCs/>
          <w:color w:val="1B3A6B"/>
          <w:sz w:val="96"/>
          <w:szCs w:val="96"/>
        </w:rPr>
        <w:t xml:space="preserve">ARIA</w:t>
      </w:r>
    </w:p>
    <w:p>
      <w:pPr>
        <w:spacing w:after="80" w:before="0"/>
        <w:jc w:val="center"/>
      </w:pPr>
      <w:r>
        <w:rPr>
          <w:rFonts w:ascii="Arial" w:cs="Arial" w:eastAsia="Arial" w:hAnsi="Arial"/>
          <w:i/>
          <w:iCs/>
          <w:color w:val="2C5F9E"/>
          <w:sz w:val="36"/>
          <w:szCs w:val="36"/>
        </w:rPr>
        <w:t xml:space="preserve">Adaptive Real-time Intelligence Architecture</w:t>
      </w:r>
    </w:p>
    <w:p>
      <w:pPr>
        <w:spacing w:after="60" w:before="0"/>
        <w:jc w:val="center"/>
      </w:pPr>
      <w:r>
        <w:rPr>
          <w:rFonts w:ascii="Arial" w:cs="Arial" w:eastAsia="Arial" w:hAnsi="Arial"/>
          <w:b/>
          <w:bCs/>
          <w:color w:val="374151"/>
          <w:sz w:val="28"/>
          <w:szCs w:val="28"/>
        </w:rPr>
        <w:t xml:space="preserve">Full Technical Specification</w:t>
      </w:r>
    </w:p>
    <w:p>
      <w:pPr>
        <w:pBdr>
          <w:bottom w:val="single" w:color="2C5F9E" w:sz="6" w:space="4"/>
        </w:pBdr>
        <w:spacing w:after="80" w:before="160"/>
        <w:jc w:val="center"/>
      </w:pPr>
      <w:r>
        <w:rPr>
          <w:rFonts w:ascii="Arial" w:cs="Arial" w:eastAsia="Arial" w:hAnsi="Arial"/>
          <w:color w:val="111827"/>
          <w:sz w:val="22"/>
          <w:szCs w:val="22"/>
        </w:rPr>
        <w:t xml:space="preserve"/>
      </w:r>
    </w:p>
    <w:p>
      <w:pPr>
        <w:spacing w:after="0" w:before="120"/>
      </w:pPr>
      <w:r>
        <w:rPr>
          <w:rFonts w:ascii="Arial" w:cs="Arial" w:eastAsia="Arial" w:hAnsi="Arial"/>
          <w:color w:val="111827"/>
          <w:sz w:val="22"/>
          <w:szCs w:val="22"/>
        </w:rPr>
        <w:t xml:space="preserve"/>
      </w:r>
    </w:p>
    <w:p>
      <w:pPr>
        <w:spacing w:after="60" w:before="0"/>
        <w:jc w:val="center"/>
      </w:pPr>
      <w:r>
        <w:rPr>
          <w:rFonts w:ascii="Arial" w:cs="Arial" w:eastAsia="Arial" w:hAnsi="Arial"/>
          <w:b/>
          <w:bCs/>
          <w:color w:val="1B3A6B"/>
          <w:sz w:val="26"/>
          <w:szCs w:val="26"/>
        </w:rPr>
        <w:t xml:space="preserve">Leap of Faith Technologies</w:t>
      </w:r>
    </w:p>
    <w:p>
      <w:pPr>
        <w:spacing w:after="60" w:before="0"/>
        <w:jc w:val="center"/>
      </w:pPr>
      <w:r>
        <w:rPr>
          <w:rFonts w:ascii="Arial" w:cs="Arial" w:eastAsia="Arial" w:hAnsi="Arial"/>
          <w:color w:val="374151"/>
          <w:sz w:val="22"/>
          <w:szCs w:val="22"/>
        </w:rPr>
        <w:t xml:space="preserve">IIT CS 595 — See One. Do One. Build One.</w:t>
      </w:r>
    </w:p>
    <w:p>
      <w:pPr>
        <w:spacing w:after="60" w:before="0"/>
        <w:jc w:val="center"/>
      </w:pPr>
      <w:r>
        <w:t>Version 4.3  |  April 2026</w:t>
      </w:r>
    </w:p>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1. Executive Summary</w:t>
      </w:r>
    </w:p>
    <w:p>
      <w:pPr>
        <w:spacing w:after="120" w:before="80"/>
      </w:pPr>
      <w:r>
        <w:rPr>
          <w:rFonts w:ascii="Arial" w:cs="Arial" w:eastAsia="Arial" w:hAnsi="Arial"/>
          <w:color w:val="111827"/>
          <w:sz w:val="22"/>
          <w:szCs w:val="22"/>
        </w:rPr>
        <w:t xml:space="preserve">ARIA — Adaptive Real-time Intelligence Architecture — is a between-visit clinical intelligence platform built for hypertension management at GP practice level. It solves one specific problem: a GP with 1,800 patients and 8 minutes per consultation has no structured view of what happened to their hypertensive patients since the last appointment. Readings taken at home, medications adjusted, missed doses, worsening trends — none of this reaches the clinician before they walk into the room.</w:t>
      </w:r>
    </w:p>
    <w:p>
      <w:pPr>
        <w:spacing w:after="0" w:before="60"/>
      </w:pPr>
      <w:r>
        <w:rPr>
          <w:rFonts w:ascii="Arial" w:cs="Arial" w:eastAsia="Arial" w:hAnsi="Arial"/>
          <w:color w:val="111827"/>
          <w:sz w:val="22"/>
          <w:szCs w:val="22"/>
        </w:rPr>
        <w:t xml:space="preserve"/>
      </w:r>
    </w:p>
    <w:p>
      <w:pPr>
        <w:spacing w:after="120" w:before="80"/>
      </w:pPr>
      <w:r>
        <w:t>ARIA fixes this by generating a production-shaped home blood pressure and medication-confirmation stream for the MVP, analysing it against each patient's longitudinal clinical history, detecting three clinically significant review patterns, and delivering a structured pre-visit briefing to the clinician dashboard at 7:30 AM before the clinic day begins. For the late-April MVP, the runtime architecture is a secure modular monolith: FHIR Bundle import, FastAPI APIs, PostgreSQL persistence, an asynchronous processing worker for recalculation and briefing generation, a React clinician dashboard, and an optional readable summary layer that sits on top of a deterministic briefing payload.</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ARIA is not a remote patient monitoring programme requiring a parallel clinical workforce. It is not an AI scribe. It is not a patient-facing coaching tool. It is the intelligence layer that currently does not exist before the visit.</w:t>
      </w:r>
    </w:p>
    <w:p>
      <w:r>
        <w:t>Delivery boundary — late-April MVP</w:t>
        <w:br/>
        <w:t>ARIA v4.3 is a production-shaped pilot MVP, not a hospital-launch claim. The build supports synthetic home BP and synthetic medication-confirmation events, FHIR Bundle import instead of live SMART on FHIR, basic role-based access control, immutable audit logging, TLS in transit, secrets-managed deployment, and strict environment separation between demo and any future PHI environment. Live PHI deployment, live EHR API connectivity, and full compliance hardening remain post-MVP workstreams.</w:t>
      </w:r>
    </w:p>
    <w:p>
      <w:pPr>
        <w:spacing w:after="0" w:before="60"/>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EF3C7" w:sz="20"/>
              <w:bottom w:val="none" w:color="FFFFFF" w:sz="0"/>
              <w:right w:val="none" w:color="FFFFFF" w:sz="0"/>
            </w:tcBorders>
            <w:shd w:fill="FEF3C7" w:val="clear"/>
            <w:tcMar>
              <w:top w:type="dxa" w:w="100"/>
              <w:left w:type="dxa" w:w="160"/>
              <w:bottom w:type="dxa" w:w="100"/>
              <w:right w:type="dxa" w:w="160"/>
            </w:tcMar>
          </w:tcPr>
          <w:p>
            <w:r>
              <w:t>Clinical boundary — non-negotiable</w:t>
              <w:br/>
              <w:t>ARIA does not recommend specific medication adjustments. It does not send alerts directly to patients. It does not display raw readings to patients. It does not make clinical decisions. Every output is decision support for the clinician. ARIA presents review flags with the basis for each flag and uses terms such as possible adherence concern rather than definitive labels. This boundary must be enforced at the product level, not as a guideline.</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1.1 What ARIA is being built on</w:t>
      </w:r>
    </w:p>
    <w:p>
      <w:pPr>
        <w:spacing w:after="120" w:before="80"/>
      </w:pPr>
      <w:r>
        <w:t>ARIA is built within the LOF See One. Do One. Build One. programme at Illinois Institute of Technology (CS 595). It uses the LOF iEMR dataset as a test fixture — real longitudinal patient records with 124 visits, 65 in-clinic BP readings, and a full medication and problem history. However, the MVP integration path is standards-based FHIR R4 Bundle import rather than a live vendor API connection. AI coding agents may be used to accelerate scaffolding, tests, migrations, and UI work, but all clinical logic, SQL, security controls, and prompt content remain under named human review before merge.</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1.2 Competitive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Gap vs ARIA</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Cadence</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24/7 RPM with parallel nurse team. Health system scale, Epic integration.</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Requires care navigator staff and RPM billing infrastructure. No pre-visit GP briefing. Not viable for independent GP.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HealthSnap</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RPM + Chronic Care Management. Care navigators manage alerts.</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Same model as Cadence. Staffed programme, not a clinician intelligence tool.</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CureApp HT</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FDA-cleared digital therapeutic. Patient-facing lifestyle coaching.</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Coaches patient behaviour. No longitudinal EHR context. No pre-visit briefing.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AI Scribes (Suki, DAX)</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the visit in real time.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Handle during/after the visit only. Nothing before it.</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ARIA</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Pre-visit briefing. FHIR-native ingestion. CuffLink monitoring. No extra staff.</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Serves the independent GP directly. Gap no competitor addresses.</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2. AI Architecture — Three-Layer Model (v4.3)</w:t>
      </w:r>
    </w:p>
    <w:p>
      <w:pPr>
        <w:spacing w:after="120" w:before="80"/>
      </w:pPr>
      <w:r>
        <w:t xml:space="preserve">ARIA processes each patient through three layers in strict sequence. Layer 1 always runs first and must be correct before Layers 2 and 3 execute. Never reverse this order.</w:t>
      </w:r>
    </w:p>
    <w:p>
      <w:pPr>
        <w:pStyle w:val="Heading2"/>
        <w:spacing w:after="120" w:before="320"/>
      </w:pPr>
      <w:r>
        <w:rPr>
          <w:rFonts w:ascii="Arial" w:cs="Arial" w:eastAsia="Arial" w:hAnsi="Arial"/>
          <w:b/>
          <w:bCs/>
          <w:color w:val="2C5F9E"/>
          <w:sz w:val="28"/>
          <w:szCs w:val="28"/>
        </w:rPr>
        <w:t>2.1  Layer 1 — Deterministic Rule Engine</w:t>
      </w:r>
    </w:p>
    <w:p>
      <w:pPr>
        <w:spacing w:after="120" w:before="80"/>
      </w:pPr>
      <w:r>
        <w:t xml:space="preserve">Gap detection, therapeutic inertia, adherence-BP correlation, and deterioration detection. Pure SQL queries. No AI. No LLM. This is the foundation of ARIA. All clinical signals are computed deterministically from the readings and clinical_context tables. Layer 1 runs asynchronously via the processing_jobs worker — never in the HTTP request path.</w:t>
      </w:r>
    </w:p>
    <w:p>
      <w:pPr>
        <w:pStyle w:val="Heading2"/>
        <w:spacing w:after="120" w:before="320"/>
      </w:pPr>
      <w:r>
        <w:rPr>
          <w:rFonts w:ascii="Arial" w:cs="Arial" w:eastAsia="Arial" w:hAnsi="Arial"/>
          <w:b/>
          <w:bCs/>
          <w:color w:val="2C5F9E"/>
          <w:sz w:val="28"/>
          <w:szCs w:val="28"/>
        </w:rPr>
        <w:t>2.2  Layer 2 — Weighted Risk Scoring</w:t>
      </w:r>
    </w:p>
    <w:p>
      <w:pPr>
        <w:spacing w:after="120" w:before="80"/>
      </w:pPr>
      <w:r>
        <w:t xml:space="preserve">After all Layer 1 detectors complete, the risk scorer computes a numeric priority score (0.0-100.0) for each patient. The score combines five signals: 28-day average systolic vs personal baseline (30%), days since last medication change (25%), adherence rate inverted (20%), gap duration normalised (15%), and active comorbidity count (10%). The result is stored in patients.risk_score and used to sort patients within each tier on the clinician dashboard — High-risk patients with score 87 appear above High-risk patients with score 54.</w:t>
      </w:r>
    </w:p>
    <w:p>
      <w:pPr>
        <w:pStyle w:val="Heading2"/>
        <w:spacing w:after="120" w:before="320"/>
      </w:pPr>
      <w:r>
        <w:rPr>
          <w:rFonts w:ascii="Arial" w:cs="Arial" w:eastAsia="Arial" w:hAnsi="Arial"/>
          <w:b/>
          <w:bCs/>
          <w:color w:val="2C5F9E"/>
          <w:sz w:val="28"/>
          <w:szCs w:val="28"/>
        </w:rPr>
        <w:t>2.3  Layer 3 — LLM Explanation (Optional)</w:t>
      </w:r>
    </w:p>
    <w:p>
      <w:pPr>
        <w:spacing w:after="120" w:before="80"/>
      </w:pPr>
      <w:r>
        <w:t xml:space="preserve">The optional readable summary layer converts the deterministic briefing JSON from Layer 1 into a 3-sentence readable summary per section. Model: claude-sonnet-4-20250514 via Anthropic API. The prompt template is stored in prompts/briefing_summary_prompt.md. Every Layer 3 call must log model_version, prompt_hash, and generated_at in the briefings table. Layer 3 never runs before the Layer 1 deterministic briefing is complete and verified. The deterministic briefing JSON is always the primary output — Layer 3 is additive.</w:t>
      </w:r>
    </w:p>
    <w:p>
      <w:pPr>
        <w:pStyle w:val="Heading2"/>
        <w:spacing w:after="120" w:before="320"/>
      </w:pPr>
      <w:r>
        <w:rPr>
          <w:rFonts w:ascii="Arial" w:cs="Arial" w:eastAsia="Arial" w:hAnsi="Arial"/>
          <w:b/>
          <w:bCs/>
          <w:color w:val="2C5F9E"/>
          <w:sz w:val="28"/>
          <w:szCs w:val="28"/>
        </w:rPr>
        <w:t>2.4  MVP Build Scope</w:t>
      </w:r>
    </w:p>
    <w:p>
      <w:pPr>
        <w:spacing w:after="120" w:before="80"/>
      </w:pPr>
      <w:r>
        <w:t xml:space="preserve">Both Layer 2 (risk scoring) and Layer 3 (LLM explanation) are required for the MVP. Personalisation AI, vision AI for medication photo confirmation, and advanced ML pipelines are explicitly out of scope and must not be built in the current sprint.</w:t>
      </w:r>
    </w:p>
    <w:p>
      <w:pPr>
        <w:pStyle w:val="Heading1"/>
        <w:pBdr>
          <w:bottom w:val="single" w:color="1B3A6B" w:sz="8" w:space="4"/>
        </w:pBdr>
        <w:spacing w:after="160" w:before="400"/>
      </w:pPr>
      <w:r>
        <w:rPr>
          <w:rFonts w:ascii="Arial" w:cs="Arial" w:eastAsia="Arial" w:hAnsi="Arial"/>
          <w:b/>
          <w:bCs/>
          <w:color w:val="1B3A6B"/>
          <w:sz w:val="36"/>
          <w:szCs w:val="36"/>
        </w:rPr>
        <w:t xml:space="preserve">2. Clinical Design</w:t>
      </w:r>
    </w:p>
    <w:p>
      <w:pPr>
        <w:pStyle w:val="Heading2"/>
        <w:spacing w:after="120" w:before="320"/>
      </w:pPr>
      <w:r>
        <w:rPr>
          <w:rFonts w:ascii="Arial" w:cs="Arial" w:eastAsia="Arial" w:hAnsi="Arial"/>
          <w:b/>
          <w:bCs/>
          <w:color w:val="2C5F9E"/>
          <w:sz w:val="28"/>
          <w:szCs w:val="28"/>
        </w:rPr>
        <w:t xml:space="preserve">2.1 The three core functions</w:t>
      </w:r>
    </w:p>
    <w:p>
      <w:pPr>
        <w:pStyle w:val="Heading3"/>
        <w:spacing w:after="80" w:before="220"/>
      </w:pPr>
      <w:r>
        <w:rPr>
          <w:rFonts w:ascii="Arial" w:cs="Arial" w:eastAsia="Arial" w:hAnsi="Arial"/>
          <w:b/>
          <w:bCs/>
          <w:color w:val="0D6E6E"/>
          <w:sz w:val="24"/>
          <w:szCs w:val="24"/>
        </w:rPr>
        <w:t xml:space="preserve">Watch</w:t>
      </w:r>
    </w:p>
    <w:p>
      <w:pPr>
        <w:spacing w:after="120" w:before="80"/>
      </w:pPr>
      <w:r>
        <w:t>ARIA ingests home blood pressure readings through one production-shaped pipeline. For the MVP and demo, the current 28-day home BP stream is synthesised from the iEMR baseline and stored through the same readings pipeline with source = generated. Future live deployment uses a Bluetooth cuff as the primary capture path and manual entry as the fallback. iEMR or EHR data alone still supports patients who decline monitoring. Every reading is timestamped, source-tagged, and stored. A gap in readings is treated as a signal, not silence.</w:t>
      </w:r>
    </w:p>
    <w:p>
      <w:pPr>
        <w:spacing w:after="0" w:before="60"/>
      </w:pPr>
      <w:r>
        <w:rPr>
          <w:rFonts w:ascii="Arial" w:cs="Arial" w:eastAsia="Arial" w:hAnsi="Arial"/>
          <w:color w:val="111827"/>
          <w:sz w:val="22"/>
          <w:szCs w:val="22"/>
        </w:rPr>
        <w:t xml:space="preserve"/>
      </w:r>
    </w:p>
    <w:p>
      <w:pPr>
        <w:pStyle w:val="Heading3"/>
        <w:spacing w:after="80" w:before="220"/>
      </w:pPr>
      <w:r>
        <w:rPr>
          <w:rFonts w:ascii="Arial" w:cs="Arial" w:eastAsia="Arial" w:hAnsi="Arial"/>
          <w:b/>
          <w:bCs/>
          <w:color w:val="0D6E6E"/>
          <w:sz w:val="24"/>
          <w:szCs w:val="24"/>
        </w:rPr>
        <w:t xml:space="preserve">Think</w:t>
      </w:r>
    </w:p>
    <w:p>
      <w:pPr>
        <w:spacing w:after="120" w:before="80"/>
      </w:pPr>
      <w:r>
        <w:rPr>
          <w:rFonts w:ascii="Arial" w:cs="Arial" w:eastAsia="Arial" w:hAnsi="Arial"/>
          <w:color w:val="111827"/>
          <w:sz w:val="22"/>
          <w:szCs w:val="22"/>
        </w:rPr>
        <w:t xml:space="preserve">ARIA runs three pattern detection analyses continuously against each patient's reading history and longitudinal clinical context:</w:t>
      </w:r>
    </w:p>
    <w:p>
      <w:pPr>
        <w:spacing w:after="0" w:before="60"/>
      </w:pPr>
      <w:r>
        <w:rPr>
          <w:rFonts w:ascii="Arial" w:cs="Arial" w:eastAsia="Arial" w:hAnsi="Arial"/>
          <w:color w:val="111827"/>
          <w:sz w:val="22"/>
          <w:szCs w:val="22"/>
        </w:rPr>
        <w:t xml:space="preserve"/>
      </w:r>
    </w:p>
    <w:p>
      <w:pPr>
        <w:pStyle w:val="ListParagraph"/>
        <w:numPr>
          <w:ilvl w:val="0"/>
          <w:numId w:val="2"/>
        </w:numPr>
        <w:spacing w:after="40" w:before="40"/>
      </w:pPr>
      <w:r>
        <w:rPr>
          <w:rFonts w:ascii="Arial" w:cs="Arial" w:eastAsia="Arial" w:hAnsi="Arial"/>
          <w:color w:val="111827"/>
          <w:sz w:val="22"/>
          <w:szCs w:val="22"/>
        </w:rPr>
        <w:t xml:space="preserve">Therapeutic inertia detection — elevated readings persisting across multiple days without a corresponding medication change in the clinical record. The clinically documented failure mode where treatment is not intensified when it should be.</w:t>
      </w:r>
    </w:p>
    <w:p>
      <w:pPr>
        <w:pStyle w:val="ListParagraph"/>
        <w:numPr>
          <w:ilvl w:val="0"/>
          <w:numId w:val="2"/>
        </w:numPr>
        <w:spacing w:after="40" w:before="40"/>
      </w:pPr>
      <w:r>
        <w:t>Possible adherence concern — readings that are lower immediately before appointments and higher in between, or that diverge from the synthetic medication-confirmation signal used in the MVP. The white-coat adherence pattern remains clinically relevant, but the MVP presents this as a contextual review flag rather than proof of non-adherence.</w:t>
      </w:r>
    </w:p>
    <w:p>
      <w:pPr>
        <w:pStyle w:val="ListParagraph"/>
        <w:numPr>
          <w:ilvl w:val="0"/>
          <w:numId w:val="2"/>
        </w:numPr>
        <w:spacing w:after="40" w:before="40"/>
      </w:pPr>
      <w:r>
        <w:rPr>
          <w:rFonts w:ascii="Arial" w:cs="Arial" w:eastAsia="Arial" w:hAnsi="Arial"/>
          <w:color w:val="111827"/>
          <w:sz w:val="22"/>
          <w:szCs w:val="22"/>
        </w:rPr>
        <w:t xml:space="preserve">Deterioration detection — sustained worsening trends that cross clinically significant thresholds relative to the patient's own baseline, not population averages.</w:t>
      </w:r>
    </w:p>
    <w:p>
      <w:pPr>
        <w:spacing w:after="0" w:before="60"/>
      </w:pPr>
      <w:r>
        <w:rPr>
          <w:rFonts w:ascii="Arial" w:cs="Arial" w:eastAsia="Arial" w:hAnsi="Arial"/>
          <w:color w:val="111827"/>
          <w:sz w:val="22"/>
          <w:szCs w:val="22"/>
        </w:rPr>
        <w:t xml:space="preserve"/>
      </w:r>
    </w:p>
    <w:p>
      <w:pPr>
        <w:spacing w:after="120" w:before="80"/>
      </w:pPr>
      <w:r>
        <w:t>These are not simple threshold checks. Each detection requires context: the patient's personal baseline derived from their longitudinal BP history, their current medication regimen with change dates, how long the pattern has been present, and whether the clinician has already seen and acted on it in a prior visit note. In the MVP UI, these appear as review flags with visible supporting facts rather than opaque clinical conclusions.</w:t>
      </w:r>
    </w:p>
    <w:p>
      <w:pPr>
        <w:spacing w:after="0" w:before="60"/>
      </w:pPr>
      <w:r>
        <w:rPr>
          <w:rFonts w:ascii="Arial" w:cs="Arial" w:eastAsia="Arial" w:hAnsi="Arial"/>
          <w:color w:val="111827"/>
          <w:sz w:val="22"/>
          <w:szCs w:val="22"/>
        </w:rPr>
        <w:t xml:space="preserve"/>
      </w:r>
    </w:p>
    <w:p>
      <w:pPr>
        <w:pStyle w:val="Heading3"/>
        <w:spacing w:after="80" w:before="220"/>
      </w:pPr>
      <w:r>
        <w:rPr>
          <w:rFonts w:ascii="Arial" w:cs="Arial" w:eastAsia="Arial" w:hAnsi="Arial"/>
          <w:b/>
          <w:bCs/>
          <w:color w:val="0D6E6E"/>
          <w:sz w:val="24"/>
          <w:szCs w:val="24"/>
        </w:rPr>
        <w:t xml:space="preserve">Inform</w:t>
      </w:r>
    </w:p>
    <w:p>
      <w:pPr>
        <w:spacing w:after="120" w:before="80"/>
      </w:pPr>
      <w:r>
        <w:t>At 7:30 AM each morning ARIA generates two types of output. For every patient with an appointment that day, the scheduler enqueues a briefing-generation job and the background worker creates a structured pre-visit briefing in the clinician dashboard covering active problems, 28-day home reading trend, medication status, overdue labs, social context, and a prioritised visit agenda. An optional low-PHI notification email can tell the clinician that the briefing is ready, but PHI-rich content remains in the dashboard and the dashboard remains the source of truth. For patients with no appointment, ARIA is silent unless a reading or gap crosses the urgent threshold — in which case an alert is created in the clinician inbox and may trigger a low-PHI notification.</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2.2 Disease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MVP — Month 1</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Hypertension only. Systolic and diastolic readings via CuffLink. Elevated BP review, possible adherence concern, and deterioration detection against the longitudinal clinical record. Home BP and medication confirmations are synthesised for the MVP through the same production-shaped data pipeline that future live deployment will use.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Phase 2 — Month 3+</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2 Diabetes added. HbA1c trend, medication adherence, overdue lab flags integrated into the same briefing framework.</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Phase 3 — Year 1+</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Heart failure, COPD, multi-condition patients. The iEMR and FHIR data model already supports these — expansion is a pattern engine addition, not an architectural change.</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2.3 Gap detection logic</w:t>
      </w:r>
    </w:p>
    <w:p>
      <w:pPr>
        <w:spacing w:after="120" w:before="80"/>
      </w:pPr>
      <w:r>
        <w:rPr>
          <w:rFonts w:ascii="Arial" w:cs="Arial" w:eastAsia="Arial" w:hAnsi="Arial"/>
          <w:color w:val="111827"/>
          <w:sz w:val="22"/>
          <w:szCs w:val="22"/>
        </w:rPr>
        <w:t xml:space="preserve">Every enrolled patient is assigned a risk tier at enrolment by the clinician. Two hard overrides apply regardless of assigned tier: CHF in the problem list forces High (ICD-10 prefix I50.*), and stroke or TIA history forces High (stroke: I63.* or I64, TIA: G45.*). The gap detection table applies two thresholds per tier — a briefing flag and an escalation ceiling. No patient can fall permanently silent.</w:t>
      </w:r>
    </w:p>
    <w:p>
      <w:pPr>
        <w:spacing w:after="0" w:before="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ARIA response</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1–2 days without a reading</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Gap flag in pre-visit briefing only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 days without a reading</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Urgent alert to clinician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3–4 days without a reading</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Gap flag in pre-visit briefing only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5+ days without a reading</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Urgent alert to clinician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7–13 days without a reading</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Gap flag in pre-visit briefing only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14+ days without a reading</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Urgent alert to clinician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All tiers</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Any gap on appointment day</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Always flagged in briefing regardless of duration</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2.4 Risk tier assignment</w:t>
      </w:r>
    </w:p>
    <w:p>
      <w:pPr>
        <w:spacing w:after="120" w:before="80"/>
      </w:pPr>
      <w:r>
        <w:rPr>
          <w:rFonts w:ascii="Arial" w:cs="Arial" w:eastAsia="Arial" w:hAnsi="Arial"/>
          <w:color w:val="111827"/>
          <w:sz w:val="22"/>
          <w:szCs w:val="22"/>
        </w:rPr>
        <w:t xml:space="preserve">For the MVP the clinician assigns the tier at enrolment using a dropdown — High, Medium, or Low. The clinician knows their patient. They are better placed to assign the initial tier than an algorithm that has seen seven days of readings. The two hard overrides are the only automated checks applied at enrolment.</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The full three-layer scoring model — comorbidity points from the problem list, medication complexity from the medication list, and a reading trend modifier from CuffLink data — is fully designed and documented as the Phase 2 automated tier calculation. For the MVP it is the roadmap, not the build.</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2.5 Shadow mode validation</w:t>
      </w:r>
    </w:p>
    <w:p>
      <w:pPr>
        <w:spacing w:after="120" w:before="80"/>
      </w:pPr>
      <w:r>
        <w:t>Before ARIA is used with any real patient, the alert engine must agree with documented physician clinical concern in at least 80% of shadow mode validation cases. Shadow mode generates synthetic home readings and synthetic medication-confirmation events from the iEMR baseline, fires the alert engine, and compares output against physician assessment text in visit notes. The iEMR dataset provides labelled examples: 'BP very high today' at 185 systolic is a positive label; 'doing well on medication' at 131 systolic is a negative label. This is the minimum internal gate for the MVP demo, not a claim of prospective clinical validation. False negatives must be manually reviewed before demo sign-off.</w:t>
      </w:r>
    </w:p>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3. CuffLink — Home Monitoring Layer</w:t>
      </w:r>
    </w:p>
    <w:p>
      <w:pPr>
        <w:spacing w:after="120" w:before="80"/>
      </w:pPr>
      <w:r>
        <w:rPr>
          <w:rFonts w:ascii="Arial" w:cs="Arial" w:eastAsia="Arial" w:hAnsi="Arial"/>
          <w:color w:val="111827"/>
          <w:sz w:val="22"/>
          <w:szCs w:val="22"/>
        </w:rPr>
        <w:t xml:space="preserve">CuffLink is ARIA's home monitoring layer — the name given to ARIA's own BP cuff integration and reading submission pipeline. It is not a third-party product. Naming and owning this layer decouples ARIA's intelligence engine from any single cuff vendor and gives the platform a patient-facing identity.</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3.1 Supported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Pathway</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Compatible devices</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BLE Bluetooth cuff</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Omron, iHealth, Withings, Beurer — any device broadcasting the BLE Blood Pressure Profile (GATT 0x1810)</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Future live primary pathway. Patient pairs cuff once. Subsequent readings transfer automatically. For the MVP demo, synthetic home BP readings are inserted through the same readings pipeline with source = generated, while BLE remains the intended production capture path.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entry (any cuff)</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Any validated oscillometric upper-arm cuff</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Future live fallback pathway. Patient reads the display and enters systolic and diastolic in the CuffLink web form. Works on any phone, any browser. The current MVP keeps this in the architecture but demonstrates the pipeline using generated readings.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SMS submission</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Feature phone or no smartphone</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Deferred post-MVP. SMS submission is intentionally out of current scope to keep the MVP secure and focused.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Carer web form</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Patient cannot self-monitor</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Deferred post-MVP. Carer-assisted submission remains a future pathway but is not part of the current MVP build.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No monitoring</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Patient declines all monitoring</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ARIA delivers the pre-visit briefing from EHR data alone. The floor is always better than what exists today.</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3.2 Clinical measurement protocol</w:t>
      </w:r>
    </w:p>
    <w:p>
      <w:pPr>
        <w:spacing w:after="120" w:before="80"/>
      </w:pPr>
      <w:r>
        <w:rPr>
          <w:rFonts w:ascii="Arial" w:cs="Arial" w:eastAsia="Arial" w:hAnsi="Arial"/>
          <w:color w:val="111827"/>
          <w:sz w:val="22"/>
          <w:szCs w:val="22"/>
        </w:rPr>
        <w:t xml:space="preserve">CuffLink enforces the ESH/AHA-recommended home BP measurement protocol. This is embedded in app onboarding and reminders, not left to patient discretion.</w:t>
      </w:r>
    </w:p>
    <w:p>
      <w:pPr>
        <w:spacing w:after="0" w:before="60"/>
      </w:pPr>
      <w:r>
        <w:rPr>
          <w:rFonts w:ascii="Arial" w:cs="Arial" w:eastAsia="Arial" w:hAnsi="Arial"/>
          <w:color w:val="111827"/>
          <w:sz w:val="22"/>
          <w:szCs w:val="22"/>
        </w:rPr>
        <w:t xml:space="preserve"/>
      </w:r>
    </w:p>
    <w:p>
      <w:pPr>
        <w:pStyle w:val="ListParagraph"/>
        <w:numPr>
          <w:ilvl w:val="0"/>
          <w:numId w:val="2"/>
        </w:numPr>
        <w:spacing w:after="40" w:before="40"/>
      </w:pPr>
      <w:r>
        <w:rPr>
          <w:rFonts w:ascii="Arial" w:cs="Arial" w:eastAsia="Arial" w:hAnsi="Arial"/>
          <w:color w:val="111827"/>
          <w:sz w:val="22"/>
          <w:szCs w:val="22"/>
        </w:rPr>
        <w:t xml:space="preserve">Timing — twice daily. Morning within one hour of waking, before medication. Evening before bed.</w:t>
      </w:r>
    </w:p>
    <w:p>
      <w:pPr>
        <w:pStyle w:val="ListParagraph"/>
        <w:numPr>
          <w:ilvl w:val="0"/>
          <w:numId w:val="2"/>
        </w:numPr>
        <w:spacing w:after="40" w:before="40"/>
      </w:pPr>
      <w:r>
        <w:rPr>
          <w:rFonts w:ascii="Arial" w:cs="Arial" w:eastAsia="Arial" w:hAnsi="Arial"/>
          <w:color w:val="111827"/>
          <w:sz w:val="22"/>
          <w:szCs w:val="22"/>
        </w:rPr>
        <w:t xml:space="preserve">Preparation — five minutes rest before measuring. No coffee, exercise, or smoking within 30 minutes. Sitting, back supported, feet flat, arm at heart level.</w:t>
      </w:r>
    </w:p>
    <w:p>
      <w:pPr>
        <w:pStyle w:val="ListParagraph"/>
        <w:numPr>
          <w:ilvl w:val="0"/>
          <w:numId w:val="2"/>
        </w:numPr>
        <w:spacing w:after="40" w:before="40"/>
      </w:pPr>
      <w:r>
        <w:rPr>
          <w:rFonts w:ascii="Arial" w:cs="Arial" w:eastAsia="Arial" w:hAnsi="Arial"/>
          <w:color w:val="111827"/>
          <w:sz w:val="22"/>
          <w:szCs w:val="22"/>
        </w:rPr>
        <w:t xml:space="preserve">Two readings per session, one minute apart. CuffLink records both. The average is stored as the primary analysis value. If readings differ by more than 5 mmHg a third is taken automatically.</w:t>
      </w:r>
    </w:p>
    <w:p>
      <w:pPr>
        <w:pStyle w:val="ListParagraph"/>
        <w:numPr>
          <w:ilvl w:val="0"/>
          <w:numId w:val="2"/>
        </w:numPr>
        <w:spacing w:after="40" w:before="40"/>
      </w:pPr>
      <w:r>
        <w:rPr>
          <w:rFonts w:ascii="Arial" w:cs="Arial" w:eastAsia="Arial" w:hAnsi="Arial"/>
          <w:color w:val="111827"/>
          <w:sz w:val="22"/>
          <w:szCs w:val="22"/>
        </w:rPr>
        <w:t xml:space="preserve">Same arm every time. Left arm preferred. Correct cuff size is mandatory — CuffLink onboarding includes arm circumference guidance.</w:t>
      </w:r>
    </w:p>
    <w:p>
      <w:pPr>
        <w:pStyle w:val="ListParagraph"/>
        <w:numPr>
          <w:ilvl w:val="0"/>
          <w:numId w:val="2"/>
        </w:numPr>
        <w:spacing w:after="40" w:before="40"/>
      </w:pPr>
      <w:r>
        <w:rPr>
          <w:rFonts w:ascii="Arial" w:cs="Arial" w:eastAsia="Arial" w:hAnsi="Arial"/>
          <w:color w:val="111827"/>
          <w:sz w:val="22"/>
          <w:szCs w:val="22"/>
        </w:rPr>
        <w:t xml:space="preserve">First week protocol — morning and evening readings every day for seven days to establish the patient's personal baseline. All subsequent pattern detection compares against this baseline.</w:t>
      </w:r>
    </w:p>
    <w:p>
      <w:pPr>
        <w:spacing w:after="0" w:before="60"/>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6E4F7" w:sz="20"/>
              <w:bottom w:val="none" w:color="FFFFFF" w:sz="0"/>
              <w:right w:val="none" w:color="FFFFFF" w:sz="0"/>
            </w:tcBorders>
            <w:shd w:fill="D6E4F7" w:val="clear"/>
            <w:tcMar>
              <w:top w:type="dxa" w:w="100"/>
              <w:left w:type="dxa" w:w="160"/>
              <w:bottom w:type="dxa" w:w="100"/>
              <w:right w:type="dxa" w:w="160"/>
            </w:tcMar>
          </w:tcPr>
          <w:p>
            <w:pPr>
              <w:spacing w:after="40" w:before="0"/>
            </w:pPr>
            <w:r>
              <w:rPr>
                <w:rFonts w:ascii="Arial" w:cs="Arial" w:eastAsia="Arial" w:hAnsi="Arial"/>
                <w:b/>
                <w:bCs/>
                <w:color w:val="1B3A6B"/>
                <w:sz w:val="22"/>
                <w:szCs w:val="22"/>
              </w:rPr>
              <w:t xml:space="preserve">Why two readings averaged</w:t>
            </w:r>
          </w:p>
          <w:p>
            <w:pPr>
              <w:spacing w:after="0" w:before="0"/>
            </w:pPr>
            <w:r>
              <w:rPr>
                <w:rFonts w:ascii="Arial" w:cs="Arial" w:eastAsia="Arial" w:hAnsi="Arial"/>
                <w:color w:val="111827"/>
                <w:sz w:val="20"/>
                <w:szCs w:val="20"/>
              </w:rPr>
              <w:t xml:space="preserve">A single reading has a coefficient of variation of approximately 8–10% due to biological noise and device error. Two readings averaged reduces this by approximately 30% and is the minimum required for clinically reliable trend detection. Any demo that shows single readings will be flagged immediately by a clinical reviewer.</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3.3 CuffLink data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4F8" w:val="clear"/>
            <w:tcMar>
              <w:top w:type="dxa" w:w="120"/>
              <w:left w:type="dxa" w:w="200"/>
              <w:bottom w:type="dxa" w:w="120"/>
              <w:right w:type="dxa" w:w="120"/>
            </w:tcMar>
          </w:tcPr>
          <w:p>
            <w:r>
              <w:t>Synthetic generator (MVP/demo) OR patient takes reading in future live deployment</w:t>
              <w:br/>
              <w:t xml:space="preserve">  |</w:t>
              <w:br/>
              <w:t xml:space="preserve">  v</w:t>
              <w:br/>
              <w:t>CuffLink / generator validates format and attaches source_event_id + idempotency key</w:t>
              <w:br/>
              <w:t xml:space="preserve">  |</w:t>
              <w:br/>
              <w:t xml:space="preserve">  v</w:t>
              <w:br/>
              <w:t>POST /api/v1/readings</w:t>
              <w:br/>
              <w:t xml:space="preserve">  { patient_id, systolic_1, diastolic_1, heart_rate_1,</w:t>
              <w:br/>
              <w:t xml:space="preserve">    systolic_2, diastolic_2, heart_rate_2,</w:t>
              <w:br/>
              <w:t xml:space="preserve">    systolic_avg, diastolic_avg, heart_rate_avg,</w:t>
              <w:br/>
              <w:t xml:space="preserve">    effective_datetime (ISO 8601 with timezone),</w:t>
              <w:br/>
              <w:t xml:space="preserve">    session: morning | evening | ad_hoc,</w:t>
              <w:br/>
              <w:t xml:space="preserve">    source: generated | ble_auto | manual | sms | carer_form,</w:t>
              <w:br/>
              <w:t xml:space="preserve">    submitted_by: patient | carer | generator,</w:t>
              <w:br/>
              <w:t xml:space="preserve">    bp_position: seated | standing,</w:t>
              <w:br/>
              <w:t xml:space="preserve">    bp_site: left_arm | right_arm,</w:t>
              <w:br/>
              <w:t xml:space="preserve">    consent_version: 1.0 }</w:t>
              <w:br/>
              <w:t xml:space="preserve">  |</w:t>
              <w:br/>
              <w:t xml:space="preserve">  v</w:t>
              <w:br/>
              <w:t>ARIA ingestion API writes readings row + processing_jobs entry + audit event</w:t>
              <w:br/>
              <w:t xml:space="preserve">  |</w:t>
              <w:br/>
              <w:t xml:space="preserve">  v</w:t>
              <w:br/>
              <w:t>Background worker recalculates: treatment-review, adherence-concern, gap, deterioration</w:t>
              <w:br/>
              <w:t xml:space="preserve">  |</w:t>
              <w:br/>
              <w:t xml:space="preserve">  v</w:t>
              <w:br/>
              <w:t>7:30 AM scheduler enqueues appointment-day briefing jobs</w:t>
              <w:br/>
              <w:t xml:space="preserve">  |</w:t>
              <w:br/>
              <w:t xml:space="preserve">  v</w:t>
              <w:br/>
              <w:t>Structured briefing composer -&gt; optional readable summary -&gt; clinician dashboard</w:t>
              <w:br/>
              <w:t xml:space="preserve">  |</w:t>
              <w:br/>
              <w:t xml:space="preserve">  v</w:t>
              <w:br/>
              <w:t>Optional low-PHI notification email: 'ARIA briefing ready' (no identifiers or values)</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3.4 Future integration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Pathway</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TheraCare (LOF)</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Post-MVP once API access is granted. CuffLink reading submission becomes a screen within TheraCare. Same API payload, zero new infrastructure.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Apple HealthKit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Provides heart rate, activity, sleep data as contextual enrichment. Apple Watch does not provide systolic/diastolic numbers — only a probabilistic hypertension notification after 30 days with 41% sensitivity. Not usable as a primary BP reading source.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OMRON Connect Create SDK</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Direct device integration bypassing generic BLE. Provides automatic measurement triggering and a validated data pipeline. Post-MVP upgrade.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Tenovi cellular gateway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Cellular-enabled cuff, no smartphone required. Relevant for elderly patients without smartphones. Phase 2.</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4. EHR Integration — FHIR R4 Ingestion Interface</w:t>
      </w:r>
    </w:p>
    <w:p>
      <w:pPr>
        <w:spacing w:after="120" w:before="80"/>
      </w:pPr>
      <w:r>
        <w:t>ARIA is designed to ingest standards-based clinical data from EHR systems, not just the LOF iEMR dataset. For the late-April MVP, the supported interoperability path is FHIR R4 Bundle import. Live vendor connectivity is explicitly deferred because real Epic, Cerner, Athenahealth, EMIS, or SystmOne integrations require SMART on FHIR registration, OAuth setup, workflow testing, and vendor-specific implementation work. The MVP therefore demonstrates a truthful FHIR-native architecture without over-claiming live integration.</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4.1 Architecture — two layers</w:t>
      </w:r>
    </w:p>
    <w:p>
      <w:pPr>
        <w:spacing w:after="120" w:before="80"/>
      </w:pPr>
      <w:r>
        <w:t>Layer 1 is the EHR adapter. It converts source data into FHIR R4 resources. For the iEMR dataset, a Python script reads the JSON and produces a FHIR Bundle. For the MVP and pilot, bundle import is the supported integration path. For a real clinic system post-MVP, the adapter can later pull from the live FHIR API or accept vendor export files. The adapter is the only EHR-specific code in the system.</w:t>
      </w:r>
    </w:p>
    <w:p>
      <w:pPr>
        <w:spacing w:after="0" w:before="60"/>
      </w:pPr>
      <w:r>
        <w:rPr>
          <w:rFonts w:ascii="Arial" w:cs="Arial" w:eastAsia="Arial" w:hAnsi="Arial"/>
          <w:color w:val="111827"/>
          <w:sz w:val="22"/>
          <w:szCs w:val="22"/>
        </w:rPr>
        <w:t xml:space="preserve"/>
      </w:r>
    </w:p>
    <w:p>
      <w:pPr>
        <w:spacing w:after="120" w:before="80"/>
      </w:pPr>
      <w:r>
        <w:t>Layer 2 is the ARIA FHIR ingestion function. It receives a FHIR Bundle, validates required resources, records an ingest job, and populates the core PostgreSQL tables. This layer never sees iEMR field names. It only sees FHIR R4 resource types. Adding a new EHR means writing a new adapter; the ingestion and downstream processing model does not change.</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4.2 FHIR resources ARIA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FHIR resource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ARIA extracts from it</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Patient</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Demographics — id, gender, birthDate. Maps to the patients table. ARIA uses the FHIR Patient.id as patient_id throughout.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Condition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Problem list. Each Condition has a code (ICD-10 or SNOMED CT), clinicalStatus (active/resolved), and onsetDateTime. Maps to active_problems and problem_codes in clinical_context.</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MedicationRequest</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Medication list. Each has a medicationCodeableConcept (with RxNORM code), status (active/stopped), dosageInstruction, and authoredOn. Maps to current_medications, med_rxnorm_codes, and last_med_change.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AllergyIntolerance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Allergy list. Each has a code (substance) and clinicalStatus. Maps to clinical_context.allergies.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Observation (vital signs)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In-clinic BP readings. LOINC 55284-4 (BP panel) with components 8480-6 (systolic) and 8462-4 (diastolic). Most recent reading maps to last_clinic_systolic and last_clinic_diastolic. Full history populates historic_bp_readings for baseline anchoring.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ServiceRequest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Pending orders and labs. Status = active, intent = order. Maps to clinical_context.overdue_labs.</w:t>
            </w:r>
          </w:p>
        </w:tc>
      </w:tr>
      <w:tr>
        <w:tc>
          <w:tcPr>
            <w:tcW w:type="dxa" w:w="3000"/>
          </w:tcPr>
          <w:p>
            <w:r>
              <w:t>Appointment</w:t>
            </w:r>
          </w:p>
        </w:tc>
        <w:tc>
          <w:tcPr>
            <w:tcW w:type="dxa" w:w="6360"/>
          </w:tcPr>
          <w:p>
            <w:r>
              <w:t>Upcoming appointment date/time, status, and clinician if present. Maps to patients.next_appointment and the 7:30 AM briefing scheduler. If absent in the source fixture, next_appointment may be set manually for demo control.</w:t>
            </w:r>
          </w:p>
        </w:tc>
      </w:tr>
      <w:tr>
        <w:tc>
          <w:tcPr>
            <w:tcW w:type="dxa" w:w="3000"/>
          </w:tcPr>
          <w:p>
            <w:r>
              <w:t>Encounter</w:t>
            </w:r>
          </w:p>
        </w:tc>
        <w:tc>
          <w:tcPr>
            <w:tcW w:type="dxa" w:w="6360"/>
          </w:tcPr>
          <w:p>
            <w:r>
              <w:t>Visit metadata such as encounter date and status. Used to anchor last_visit_date and longitudinal review context when available.</w:t>
            </w:r>
          </w:p>
        </w:tc>
      </w:tr>
      <w:tr>
        <w:tc>
          <w:tcPr>
            <w:tcW w:type="dxa" w:w="3000"/>
          </w:tcPr>
          <w:p>
            <w:r>
              <w:t>Provenance (optional in MVP, required for live PHI)</w:t>
            </w:r>
          </w:p>
        </w:tc>
        <w:tc>
          <w:tcPr>
            <w:tcW w:type="dxa" w:w="6360"/>
          </w:tcPr>
          <w:p>
            <w:r>
              <w:t>Source-system and import metadata. Used to support ingest-job traceability and future audit / replay requirements rather than direct clinician display.</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4.3 Longitudinal data and EHR depth</w:t>
      </w:r>
    </w:p>
    <w:p>
      <w:pPr>
        <w:spacing w:after="120" w:before="80"/>
      </w:pPr>
      <w:r>
        <w:rPr>
          <w:rFonts w:ascii="Arial" w:cs="Arial" w:eastAsia="Arial" w:hAnsi="Arial"/>
          <w:color w:val="111827"/>
          <w:sz w:val="22"/>
          <w:szCs w:val="22"/>
        </w:rPr>
        <w:t xml:space="preserve">EHR systems hold longitudinal patient data — complete history across time. Epic and Cerner expose this through their FHIR APIs going back 10–20 years. EMIS and SystmOne (the dominant UK GP EHRs) hold comparable longitudinal depth, though FHIR API maturity varies. In practice, UK GP practices may export via GPConnect — the NHS standard for structured GP record sharing — rather than live FHIR API queries for the pilot phase.</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ARIA is designed to work gracefully with whatever longitudinal depth is available. If a practice can provide five years of FHIR Observation history, the FHIR reading generator uses five years of real BP readings to compute the baseline mean and standard deviation. If only 12 months are available, ARIA uses 12 months and notes the limited baseline period in the briefing. The clinical_context table stores all available historic BP readings as a typed array so the pattern engine always has the richest possible baseline.</w:t>
      </w:r>
    </w:p>
    <w:p>
      <w:pPr>
        <w:spacing w:after="0" w:before="60"/>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EF3C7" w:sz="20"/>
              <w:bottom w:val="none" w:color="FFFFFF" w:sz="0"/>
              <w:right w:val="none" w:color="FFFFFF" w:sz="0"/>
            </w:tcBorders>
            <w:shd w:fill="FEF3C7" w:val="clear"/>
            <w:tcMar>
              <w:top w:type="dxa" w:w="100"/>
              <w:left w:type="dxa" w:w="160"/>
              <w:bottom w:type="dxa" w:w="100"/>
              <w:right w:type="dxa" w:w="160"/>
            </w:tcMar>
          </w:tcPr>
          <w:p>
            <w:r>
              <w:t>Important caveat for the demo</w:t>
              <w:br/>
              <w:t>FHIR API access from real EHRs requires OAuth 2.0 SMART on FHIR authentication, vendor registration, and workflow testing, which takes weeks to months. For the MVP and pilot the realistic path is clinic export of a FHIR Bundle file, ingested by ARIA's ingestion function. Live SMART on FHIR launch, vendor API polling, and CDS Hooks workflow insertion are post-MVP milestones. The demo presents the FHIR-native architecture truthfully without claiming live API connections are already in place.</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4.4 iEMR adapter — what it produces from 1091_data.json</w:t>
      </w:r>
    </w:p>
    <w:p>
      <w:pPr>
        <w:spacing w:after="120" w:before="80"/>
      </w:pPr>
      <w:r>
        <w:rPr>
          <w:rFonts w:ascii="Arial" w:cs="Arial" w:eastAsia="Arial" w:hAnsi="Arial"/>
          <w:color w:val="111827"/>
          <w:sz w:val="22"/>
          <w:szCs w:val="22"/>
        </w:rPr>
        <w:t xml:space="preserve">The iEMR adapter is a Python script that reads 1091_data.json and produces a FHIR R4 Bundle. The mapping from iEMR fields to FHIR resources is fixed. After running the adapter, ARIA ingests the Bundle through its standard FHIR ingestion function — the same function it would use for an EMIS export.</w:t>
      </w:r>
    </w:p>
    <w:p>
      <w:pPr>
        <w:spacing w:after="0" w:before="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iEMR source field</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FHIR resource produced</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Mapping detail</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PROBLEM.value + PROBLEM_CODE</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Condition resource</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clinicalStatus=active, code.text=problem name, code.coding[0].code=ICD-10 from PROBLEM_CODE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MEDICATIONS.*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MedicationRequest resource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medicationCodeableConcept from MED_NAME+MED_DOSE, authoredOn from MED_DATE_ADDED, RxNORM from code_mappings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MEDICATIONS.* (all visits)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_aria_med_history (non-FHIR)</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a FHIR resource. Attached to bundle as bundle["_aria_med_history"]. Contains full medication timeline across all visits: [{name, rxnorm, date, activity}]. Distinct from MedicationRequest (current list only). Consumed by ingestion.py and stored in clinical_context.med_history.</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VITALS.SYSTOLIC_BP + DIASTOLIC_BP</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Observation resource</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LOINC 55284-4 panel, components 8480-6 and 8462-4, effectiveDateTime from VITALS_DATETIME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ALLERGY.ALLERGY_DESCRIPTION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AllergyIntolerance resource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code.text from ALLERGY_DESCRIPTION, clinicalStatus from ALLERGY_STATUS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PLAN.value where PLAN_NEEDS_FOLLOWUP=YES</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ServiceRequest resource</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status=active, intent=order, code.text from PLAN.value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SOCIAL_HX entries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Observation resource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 LOINC or ARIA extension for social history context</w:t>
            </w:r>
          </w:p>
        </w:tc>
      </w:tr>
    </w:tbl>
    <w:p>
      <w:r>
        <w:br w:type="page"/>
      </w:r>
    </w:p>
    <w:p>
      <w:pPr>
        <w:pStyle w:val="Heading2"/>
      </w:pPr>
      <w:r>
        <w:t>4.5 Realistic interoperability boundary for the MVP</w:t>
      </w:r>
    </w:p>
    <w:p>
      <w:r>
        <w:t>ARIA does not claim a live, launch-ready Epic/Cerner/Athenahealth integration in the late-April MVP. The supported path is read-only FHIR Bundle import, deterministic downstream processing, and clinician review in the ARIA dashboard. Appointment mapping, SMART on FHIR launch, vendor-specific OAuth scopes, write-back, CDS Hooks insertion, and formal conformance testing are future workstreams.</w:t>
      </w:r>
    </w:p>
    <w:p>
      <w:r>
        <w:t>This boundary is deliberate. It keeps the architecture honest, lets the team prove the clinical workflow, and avoids spending the month on vendor registration work that cannot be completed credibly inside the course timeline.</w:t>
      </w:r>
    </w:p>
    <w:p>
      <w:pPr>
        <w:pStyle w:val="Heading1"/>
        <w:pBdr>
          <w:bottom w:val="single" w:color="1B3A6B" w:sz="8" w:space="4"/>
        </w:pBdr>
        <w:spacing w:after="160" w:before="400"/>
      </w:pPr>
      <w:r>
        <w:rPr>
          <w:rFonts w:ascii="Arial" w:cs="Arial" w:eastAsia="Arial" w:hAnsi="Arial"/>
          <w:b/>
          <w:bCs/>
          <w:color w:val="1B3A6B"/>
          <w:sz w:val="36"/>
          <w:szCs w:val="36"/>
        </w:rPr>
        <w:t xml:space="preserve">5. Synthetic Data Specification</w:t>
      </w:r>
    </w:p>
    <w:p>
      <w:pPr>
        <w:spacing w:after="120" w:before="80"/>
      </w:pPr>
      <w:r>
        <w:t>ARIA generates synthetic home readings anchored on real iEMR in-clinic BP readings. For the MVP, ARIA also generates synthetic medication-confirmation events derived from each patient's active medication schedule so the medication_confirmations pipeline, adherence-rate queries, and BP-correlation logic can be exercised end-to-end. This is not invented data — it is a clinically realistic extrapolation from real patient baseline readings and medication records using peer-reviewed variance parameters and explicit demo assumptions. Synthetic data is kept separate from any future live PHI environment. A clinician must review and sign off on the synthetic data before the demo.</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5.1 Clinical grounding</w:t>
      </w:r>
    </w:p>
    <w:p>
      <w:pPr>
        <w:pStyle w:val="ListParagraph"/>
        <w:numPr>
          <w:ilvl w:val="0"/>
          <w:numId w:val="2"/>
        </w:numPr>
        <w:spacing w:after="40" w:before="40"/>
      </w:pPr>
      <w:r>
        <w:rPr>
          <w:rFonts w:ascii="Arial" w:cs="Arial" w:eastAsia="Arial" w:hAnsi="Arial"/>
          <w:color w:val="111827"/>
          <w:sz w:val="22"/>
          <w:szCs w:val="22"/>
        </w:rPr>
        <w:t xml:space="preserve">Day-to-day biological variability in systolic BP is approximately 6–12 mmHg standard deviation for treated hypertensive patients under stable conditions. Using ±2 mmHg is a spreadsheet, not a patient.</w:t>
      </w:r>
    </w:p>
    <w:p>
      <w:pPr>
        <w:pStyle w:val="ListParagraph"/>
        <w:numPr>
          <w:ilvl w:val="0"/>
          <w:numId w:val="2"/>
        </w:numPr>
        <w:spacing w:after="40" w:before="40"/>
      </w:pPr>
      <w:r>
        <w:rPr>
          <w:rFonts w:ascii="Arial" w:cs="Arial" w:eastAsia="Arial" w:hAnsi="Arial"/>
          <w:color w:val="111827"/>
          <w:sz w:val="22"/>
          <w:szCs w:val="22"/>
        </w:rPr>
        <w:t xml:space="preserve">Morning readings are consistently 5–10 mmHg higher than evening readings on the same day due to the circadian morning surge in sympathetic activity. This pattern is present in approximately 80% of hypertensive patients.</w:t>
      </w:r>
    </w:p>
    <w:p>
      <w:pPr>
        <w:pStyle w:val="ListParagraph"/>
        <w:numPr>
          <w:ilvl w:val="0"/>
          <w:numId w:val="2"/>
        </w:numPr>
        <w:spacing w:after="40" w:before="40"/>
      </w:pPr>
      <w:r>
        <w:rPr>
          <w:rFonts w:ascii="Arial" w:cs="Arial" w:eastAsia="Arial" w:hAnsi="Arial"/>
          <w:color w:val="111827"/>
          <w:sz w:val="22"/>
          <w:szCs w:val="22"/>
        </w:rPr>
        <w:t xml:space="preserve">Real readings are never perfectly round. A reading of exactly 160/90 every day for 28 days would never occur. Values cluster around a baseline with irregular scatter: 157, 164, 161, 153, 168.</w:t>
      </w:r>
    </w:p>
    <w:p>
      <w:pPr>
        <w:pStyle w:val="ListParagraph"/>
        <w:numPr>
          <w:ilvl w:val="0"/>
          <w:numId w:val="2"/>
        </w:numPr>
        <w:spacing w:after="40" w:before="40"/>
      </w:pPr>
      <w:r>
        <w:rPr>
          <w:rFonts w:ascii="Arial" w:cs="Arial" w:eastAsia="Arial" w:hAnsi="Arial"/>
          <w:color w:val="111827"/>
          <w:sz w:val="22"/>
          <w:szCs w:val="22"/>
        </w:rPr>
        <w:t xml:space="preserve">White-coat adherence pattern — readings drop 10–15 mmHg systolic in the 3–5 days before an appointment and return to higher levels afterwards. Documented in clinical literature.</w:t>
      </w:r>
    </w:p>
    <w:p>
      <w:pPr>
        <w:pStyle w:val="ListParagraph"/>
        <w:numPr>
          <w:ilvl w:val="0"/>
          <w:numId w:val="2"/>
        </w:numPr>
        <w:spacing w:after="40" w:before="40"/>
      </w:pPr>
      <w:r>
        <w:rPr>
          <w:rFonts w:ascii="Arial" w:cs="Arial" w:eastAsia="Arial" w:hAnsi="Arial"/>
          <w:color w:val="111827"/>
          <w:sz w:val="22"/>
          <w:szCs w:val="22"/>
        </w:rPr>
        <w:t xml:space="preserve">Weekend miss rate is approximately 20–30% higher than weekday miss rate.</w:t>
      </w:r>
    </w:p>
    <w:p>
      <w:pPr>
        <w:pStyle w:val="ListParagraph"/>
        <w:numPr>
          <w:ilvl w:val="0"/>
          <w:numId w:val="2"/>
        </w:numPr>
        <w:spacing w:after="40" w:before="40"/>
      </w:pPr>
      <w:r>
        <w:rPr>
          <w:rFonts w:ascii="Arial" w:cs="Arial" w:eastAsia="Arial" w:hAnsi="Arial"/>
          <w:color w:val="111827"/>
          <w:sz w:val="22"/>
          <w:szCs w:val="22"/>
        </w:rPr>
        <w:t xml:space="preserve">One device or connectivity outage of 2–4 days is realistic per 28-day monitoring period.</w:t>
      </w:r>
    </w:p>
    <w:p>
      <w:pPr>
        <w:pStyle w:val="ListParagraph"/>
        <w:numPr>
          <w:ilvl w:val="0"/>
          <w:numId w:val="2"/>
        </w:numPr>
        <w:spacing w:after="40" w:before="40"/>
      </w:pPr>
      <w:r>
        <w:rPr>
          <w:rFonts w:ascii="Arial" w:cs="Arial" w:eastAsia="Arial" w:hAnsi="Arial"/>
          <w:color w:val="111827"/>
          <w:sz w:val="22"/>
          <w:szCs w:val="22"/>
        </w:rPr>
        <w:t xml:space="preserve">When a medication is added or uptitrated, systolic BP typically begins falling within 2–5 days. A visible downward trend following a medication change must be reflected in the data.</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5.2 Patient A scenario — therapeutic inertia (anchored on patient 1091)</w:t>
      </w:r>
    </w:p>
    <w:p>
      <w:pPr>
        <w:spacing w:after="120" w:before="80"/>
      </w:pPr>
      <w:r>
        <w:rPr>
          <w:rFonts w:ascii="Arial" w:cs="Arial" w:eastAsia="Arial" w:hAnsi="Arial"/>
          <w:color w:val="111827"/>
          <w:sz w:val="22"/>
          <w:szCs w:val="22"/>
        </w:rPr>
        <w:t xml:space="preserve">Patient 1091 had real in-clinic readings of 185/72 in January 2008 dropping to 131/62 by March 2008 after medication adjustments. The synthetic home readings for Patient A are anchored on the 185–180 period before medication titration — the period where therapeutic inertia would have been detectable if home monitoring had existed.</w:t>
      </w:r>
    </w:p>
    <w:p>
      <w:pPr>
        <w:spacing w:after="0" w:before="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Days 1–7</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Baseline establishment</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Morning systolic Gaussian around 163 mmHg, SD=8. Evening 6–9 mmHg lower. Both readings every day. Patient newly enrolled, motivated. HR 64–72, negatively correlated with systolic (metoprolol effect).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Days 8–14</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Inertia develops</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Systolic drifts upward 4–6 mmHg over week. Mean morning 165 by day 14. One missed evening reading (Saturday). ARIA flags therapeutic inertia on day 8 — 7 consecutive elevated days, no medication change in record.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Days 15–18</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Continued elevation</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Readings continue elevated, mean 164–167. Device outage days 16–17 (two consecutive gaps — Bluetooth pairing failure).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Days 19–21</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Pre-appointment dip</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Systolic drops to 148–153. Gradual decline over 3 days, not sudden. White-coat adherence pattern. Patient more careful about medication timing.</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Days 22–28</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Post-appointment return</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Readings return to elevated levels 160–166. Confirms dip was not real improvement. Weekend misses days 25 and 26.</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5.3 Synthetic data rules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Failure mode to avoid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Day-to-day systolic SD</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8–12 mmHg</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Never less than 5. Flat variance is the most common synthetic data error.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Morning/evening differential</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Morning 5–10 mmHg higher</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Must be visible every week. Absent differential is implausible.</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Round numbers</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Never exactly round</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Real readings: 153, 161, 148, 167. Apply ±1–2 mmHg noise to any intended base.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Two-reading session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Readings 1 and 2 differ by 2–6 mmHg</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Reading 2 typically slightly lower (rest effect). Never identical.</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Diastolic</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Systolic × 0.60–0.66</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Diastolic does not move independently in treated hypertension.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Heart rate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64–82 bpm</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Slight negative correlation with systolic when beta-blocker is in regimen.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Device outage</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1–2 episodes of 2–4 days</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Must appear as absent records, never as zero values in the database.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Gaps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Absent rows — not nulls</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 gap is the absence of a row for that session and date. Never store a null reading.</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6. Data Architecture</w:t>
      </w:r>
    </w:p>
    <w:p>
      <w:pPr>
        <w:spacing w:after="120" w:before="80"/>
      </w:pPr>
      <w:r>
        <w:t>ARIA uses eight PostgreSQL tables and 12 indexes in the late-April MVP runtime: patients, clinical_context, readings, medication_confirmations, alerts, briefings, processing_jobs, and audit_events. No JSONB is used in the query path except for the rendered briefing payload. All EHR data is extracted, typed, and stored relationally at ingestion time. The raw EHR data — iEMR JSON or FHIR Bundle — is retained outside the live query path for replay, debugging, and validation; the application does not re-parse the source file on normal request flow.</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6.1 Design decisions</w:t>
      </w:r>
    </w:p>
    <w:p>
      <w:pPr>
        <w:spacing w:after="120" w:before="80"/>
      </w:pPr>
      <w:r>
        <w:t>The key design choice is clinical_context — a single table that pre-computes the join work at ingestion time. Instead of normalising the EHR into eight separate tables and running multi-join queries for every briefing, the ingestion script does that join work once and materialises the result as typed arrays and scalar fields. The pattern engine and structured briefing composer therefore query one main context row per patient. This denormalised model is explicitly an MVP choice; if ARIA expands to multi-practice analytics or richer medication querying, patient_medications and patient_problems tables become the next refactor.</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Gap detection is computed by the pattern engine using a window function — LAG(effective_datetime) OVER (PARTITION BY patient_id ORDER BY effective_datetime) — not a stored column. A stored gap column breaks when readings arrive out of chronological order from concurrent sources. The window function is accurate regardless of insert order.</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systolic_avg is a stored column because it is derived only from values within the same row. It is not subject to ordering race conditions. Storing it avoids recomputing it in every pattern engine query.</w:t>
      </w:r>
    </w:p>
    <w:p>
      <w:pPr>
        <w:spacing w:after="0" w:before="60"/>
      </w:pPr>
      <w:r>
        <w:rPr>
          <w:rFonts w:ascii="Arial" w:cs="Arial" w:eastAsia="Arial" w:hAnsi="Arial"/>
          <w:color w:val="111827"/>
          <w:sz w:val="22"/>
          <w:szCs w:val="22"/>
        </w:rPr>
        <w:t xml:space="preserve"/>
      </w:r>
    </w:p>
    <w:p>
      <w:pPr>
        <w:spacing w:after="120" w:before="80"/>
      </w:pPr>
      <w:r>
        <w:t>The briefings table stores the structured briefing payload as JSONB. This is the one place JSONB is appropriate because the briefing is a structured document that is rendered, not queried field-by-field. Base briefing fields are generated deterministically from the rule engine; an optional readable summary may be layered on later. In addition, processing_jobs decouples ingestion from heavy recomputation, and audit_events records immutable access and workflow activity needed for a credible clinical-system audit trail.</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6.2 Table 1 —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patient_id</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PRIMARY KEY</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FHIR Patient.id. For iEMR: MED_REC_NO. Stable identifier across all tables.</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gender</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CHAR(1)</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'M' | 'F' | 'U'</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age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Age at enrolment.</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risk_tier</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NOT NULL</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'high' | 'medium' | 'low'. Set at enrolment by clinician.</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tier_override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Populated by auto-override logic. CHF (I50.*) -&gt; 'CHF in problem list'. Stroke (I63.* | I64) -&gt; 'Stroke history'. TIA (G45.*) -&gt; 'TIA history'.</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risk_score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NUMERIC(5,2)</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Layer 2 weighted priority score 0.0-100.0. Used to sort patients within tier on dashboard.</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monitoring_active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BOOLEAN DEFAULT TRUE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FALSE = EHR-only pathway. No home readings expected.</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next_appointment</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Used by 7:30 AM briefing scheduler.</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enrolled_at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DEFAULT NOW()</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Datetime of enrolment.</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enrolled_by</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Clinician ID who enrolled the patient.</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6.3 Table 2 — clinical_context</w:t>
      </w:r>
    </w:p>
    <w:p>
      <w:pPr>
        <w:spacing w:after="120" w:before="80"/>
      </w:pPr>
      <w:r>
        <w:rPr>
          <w:rFonts w:ascii="Arial" w:cs="Arial" w:eastAsia="Arial" w:hAnsi="Arial"/>
          <w:color w:val="111827"/>
          <w:sz w:val="22"/>
          <w:szCs w:val="22"/>
        </w:rPr>
        <w:t xml:space="preserve">One row per patient. Pre-computed from the EHR/FHIR data at ingestion. Updated when the EHR data is re-ingested. Parallel arrays: active_problems[n] corresponds to problem_codes[n]. current_medications[n] corresponds to med_rxnorm_codes[n].</w:t>
      </w:r>
    </w:p>
    <w:p>
      <w:pPr>
        <w:spacing w:after="0" w:before="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patient_id</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PRIMARY KEY REFERENCES patients</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One-to-one with patients.</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active_problems</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e.g. {Hypertension,CHF,T2DM,CAD}</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problem_codes</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ICD-10 or SNOMED codes, parallel to active_problems.</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current_medications</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e.g. {Metoprolol 50mg BID,Lisinopril 10mg QD}</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med_rxnorm_codes</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RxNORM codes, parallel to current_medications.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med_history</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JSONB</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Full medication timeline across all visits. List of {name, rxnorm, date, activity} dicts. Sorted chronologically. Deduped by (name, date, activity). Populated via _aria_med_history bundle key.</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last_med_change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DATE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Most recent MedicationRequest.authoredOn. Used for therapeutic inertia detection.</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allergies</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e.g. {Sulfa,Penicillin,Dicloxacillin}</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last_visit_date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DATE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Most recent visit or encounter date.</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last_clinic_systolic</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Most recent in-clinic systolic from Observation history.</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last_clinic_diastolic</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Most recent in-clinic diastolic.</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historic_bp_systolic</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All in-clinic systolic readings chronologically. Used to compute baseline mean and SD for FHIR generator.</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historic_bp_dates</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ISO date strings (TEXT[] not DATE[] — asyncpg workaround). Dates of historic_bp_systolic readings. Parallel array.</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overdue_labs</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ServiceRequest names where status=active and no completion. Populated at ingestion.</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social_context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Plain-text summary from social history. Passed directly to LLM prompt.</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last_updated</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DEFAULT NOW()</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Updated on each re-ingestion.</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6.4 Table 3 — readings</w:t>
      </w:r>
    </w:p>
    <w:p>
      <w:pPr>
        <w:spacing w:after="120" w:before="80"/>
      </w:pPr>
      <w:r>
        <w:rPr>
          <w:rFonts w:ascii="Arial" w:cs="Arial" w:eastAsia="Arial" w:hAnsi="Arial"/>
          <w:color w:val="111827"/>
          <w:sz w:val="22"/>
          <w:szCs w:val="22"/>
        </w:rPr>
        <w:t xml:space="preserve">One row per home BP reading. Also stores FHIR-generated readings where source = 'generated'. The composite index on (patient_id, effective_datetime) is the most critical index in the system and must exist before any readings are inserted.</w:t>
      </w:r>
    </w:p>
    <w:p>
      <w:pPr>
        <w:spacing w:after="0" w:before="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reading_id</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UUID PK DEFAULT gen_random_uuid()</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Also used as FHIR Observation.id.</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patient_id</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REFERENCES patients</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Foreign key.</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systolic_1</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NOT NULL</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First measurement, mmHg.</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diastolic_1</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NOT NULL</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First measurement, mmHg.</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heart_rate_1</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First measurement, bpm.</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systolic_2</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Second measurement. NULL if single reading.</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diastolic_2</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Second measurement.</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heart_rate_2</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Second measurement.</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systolic_avg</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NUMERIC(5,1) NOT NULL</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Primary analysis value. Equals systolic_1 if single reading.</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diastolic_avg</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NUMERIC(5,1) NOT NULL</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Primary analysis value.</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heart_rate_avg</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NUMERIC(5,1)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Primary analysis value.</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effective_datetime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NOT NULL</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Patient local reading time with timezone. All gap and trend calculations use this.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session</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NOT NULL</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'morning' | 'evening' | 'ad_hoc'</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source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NOT NULL</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t>'generated' | 'manual' | 'ble_auto' | 'sms' | 'carer_form' | 'clinic'. MVP/demo uses generated for synthetic home readings. FHIR Bundle ingestion uses 'clinic' for in-clinic BP readings. Future live deployment uses ble_auto or manual.</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submitted_by</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NOT NULL</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'patient' | 'carer' | 'generator' | 'clinic'. FHIR Bundle ingestion uses clinic for in-clinic BP readings.</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bp_position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'seated' | 'standing'</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bp_site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'left_arm' | 'right_arm'</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consent_version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NOT NULL DEFAULT '1.0'</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FHIR compliance requirement.</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medication_taken</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'yes' | 'no' | 'partial' | NULL. Self-reported at time of reading submission. NULL means patient did not respond to the prompt.</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created_at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DEFAULT NOW()</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Server insert timestamp. Distinct from effective_datetime.</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6.5 Table 4 — medication_confirmations</w:t>
      </w:r>
    </w:p>
    <w:p>
      <w:pPr>
        <w:spacing w:after="120" w:before="80"/>
      </w:pPr>
      <w:r>
        <w:t>One row per scheduled medication dose event. Separate from the readings table because confirmations have a different cardinality — a patient on three medications twice daily generates six confirmation events per day against one or two BP readings. This table is the foundation for adherence rate calculation and possible-adherence-concern analysis. For the MVP, it is populated by synthetic scheduled confirmation events generated from the patient's regimen; future deployments replace those with patient-generated confirmation events.</w:t>
      </w:r>
    </w:p>
    <w:p>
      <w:pPr>
        <w:spacing w:after="0" w:before="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confirmation_id</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UUID PK DEFAULT gen_random_uuid()</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Stable identifier.</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patient_id</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REFERENCES patients</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Foreign key.</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medication_name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NOT NULL</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From clinical_context.current_medications. e.g. 'Lisinopril 10mg QD'.</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rxnorm_code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From clinical_context.med_rxnorm_codes. Parallel to medication_name.</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scheduled_time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NOT NULL</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Derived from MED_FREQ at enrolment. When ARIA expects the dose to be taken.</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confirmed_at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t>NULL = missed dose. For the MVP, populated when a synthetic demo confirmation event is generated. In future deployment, populated when the patient confirms via tap, photo, QR, or NFC.</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confirmation_type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t>'synthetic_demo' | 'tap' | 'photo' | 'qr_scan' | 'nfc_tap'. NULL if missed.</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photo_url</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Object storage URL for blister pack or bottle photo. Populated for photo confirmations only.</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confidence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NOT NULL DEFAULT 'self_report'</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t>'simulated' = synthetic demo event. 'self_report' = tap only. 'photo_verified' = camera evidence. 'physical_interaction' = QR/NFC scan.</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minutes_from_schedule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Computed: difference between confirmed_at and scheduled_time in minutes. Used for adherence pattern analysis. NULL if missed.</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created_at</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DEFAULT NOW()</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Server insert timestamp.</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6.6 Table 5 —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alert_id</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UUID PK DEFAULT gen_random_uuid()</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Stable identifier.</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patient_id</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REFERENCES patients</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Foreign key.</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alert_type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NOT NULL</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'gap_urgent' | 'gap_briefing' | 'inertia' | 'deterioration'</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gap_days</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SMALLINT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Days of gap. For gap alert types.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systolic_avg</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NUMERIC(5,1)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Rolling 7-day average at trigger time.</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triggered_at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DEFAULT NOW()</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When pattern engine fired the alert.</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delivered_at</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When notification was sent.</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acknowledged_at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When clinician acknowledged. Nullable for MVP.</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6.7 Table 6 — briefings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briefing_id</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UUID PK DEFAULT gen_random_uuid()</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Stable identifier.</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patient_id</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TEXT REFERENCES patients</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827"/>
                <w:sz w:val="19"/>
                <w:szCs w:val="19"/>
              </w:rPr>
              <w:t xml:space="preserve">Foreign key.</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appointment_date</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DATE NOT NULL</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The appointment date this briefing covers.</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llm_response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JSONB NOT NULL</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t>Structured JSON briefing payload: trend_summary, medication_status, adherence_summary, active_problems, overdue_labs, visit_agenda, urgent_flags. Base fields are deterministic; an optional readable summary can be added later.</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generated_at</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DEFAULT NOW()</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t>When the structured briefing payload was created.</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model_version</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t>Layer 3: LLM model used to generate readable summary. e.g. claude-sonnet-4-20250514. NULL when Layer 3 not run.</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prompt_hash</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TEXT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t>Layer 3: SHA-256 hash of the prompt template used. Allows detection of prompt changes across briefings. NULL when Layer 3 not run.</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1B3A6B"/>
                <w:sz w:val="19"/>
                <w:szCs w:val="19"/>
              </w:rPr>
              <w:t xml:space="preserve">delivered_at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NULLABLE</w:t>
            </w:r>
          </w:p>
        </w:tc>
        <w:tc>
          <w:tcPr>
            <w:tcW w:type="dxa" w:w="3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t>When the optional notification email was sent.</w:t>
            </w:r>
          </w:p>
        </w:tc>
      </w:tr>
      <w:tr>
        <w:tc>
          <w:tcPr>
            <w:tcW w:type="dxa" w:w="26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1B3A6B"/>
                <w:sz w:val="19"/>
                <w:szCs w:val="19"/>
              </w:rPr>
              <w:t xml:space="preserve">read_at</w:t>
            </w:r>
          </w:p>
        </w:tc>
        <w:tc>
          <w:tcPr>
            <w:tcW w:type="dxa" w:w="28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Courier New" w:cs="Courier New" w:eastAsia="Courier New" w:hAnsi="Courier New"/>
                <w:color w:val="374151"/>
                <w:sz w:val="19"/>
                <w:szCs w:val="19"/>
              </w:rPr>
              <w:t xml:space="preserve">TIMESTAMPTZ NULLABLE</w:t>
            </w:r>
          </w:p>
        </w:tc>
        <w:tc>
          <w:tcPr>
            <w:tcW w:type="dxa" w:w="396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11827"/>
                <w:sz w:val="19"/>
                <w:szCs w:val="19"/>
              </w:rPr>
              <w:t xml:space="preserve">When clinician opened dashboard briefing view.</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6.8 Indexes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4F8" w:val="clear"/>
            <w:tcMar>
              <w:top w:type="dxa" w:w="120"/>
              <w:left w:type="dxa" w:w="200"/>
              <w:bottom w:type="dxa" w:w="120"/>
              <w:right w:type="dxa" w:w="120"/>
            </w:tcMar>
          </w:tcPr>
          <w:p>
            <w:r>
              <w:t>-- Most critical: all pattern engine queries use this</w:t>
              <w:br/>
              <w:t>CREATE INDEX idx_readings_patient_datetime</w:t>
              <w:br/>
              <w:t xml:space="preserve">  ON readings (patient_id, effective_datetime DESC);</w:t>
              <w:br/>
              <w:br/>
              <w:t>-- Gap detection: last reading per patient per session</w:t>
              <w:br/>
              <w:t>CREATE INDEX idx_readings_patient_session</w:t>
              <w:br/>
              <w:t xml:space="preserve">  ON readings (patient_id, session, effective_datetime DESC);</w:t>
              <w:br/>
              <w:br/>
              <w:t>-- Alert delivery: undelivered alerts only</w:t>
              <w:br/>
              <w:t>CREATE INDEX idx_alerts_undelivered</w:t>
              <w:br/>
              <w:t xml:space="preserve">  ON alerts (patient_id, delivered_at)</w:t>
              <w:br/>
              <w:t xml:space="preserve">  WHERE delivered_at IS NULL;</w:t>
              <w:br/>
              <w:br/>
              <w:t>-- Briefing scheduler: appointment-day patients</w:t>
              <w:br/>
              <w:t>CREATE INDEX idx_patients_appointment</w:t>
              <w:br/>
              <w:t xml:space="preserve">  ON patients (next_appointment)</w:t>
              <w:br/>
              <w:t xml:space="preserve">  WHERE monitoring_active = TRUE;</w:t>
              <w:br/>
              <w:br/>
              <w:t>-- CHF/stroke override check: GIN index on array</w:t>
              <w:br/>
              <w:t>CREATE INDEX idx_cc_problem_codes</w:t>
              <w:br/>
              <w:t xml:space="preserve">  ON clinical_context USING GIN (problem_codes);</w:t>
              <w:br/>
              <w:br/>
              <w:t>-- Adherence rate queries: all confirmations per patient per period</w:t>
              <w:br/>
              <w:t>CREATE INDEX idx_confirmations_patient_scheduled</w:t>
              <w:br/>
              <w:t xml:space="preserve">  ON medication_confirmations (patient_id, scheduled_time DESC);</w:t>
              <w:br/>
              <w:br/>
              <w:t>-- Missed dose detection: unconfirmed scheduled doses</w:t>
              <w:br/>
              <w:t>CREATE INDEX idx_confirmations_missed</w:t>
              <w:br/>
              <w:t xml:space="preserve">  ON medication_confirmations (patient_id, scheduled_time)</w:t>
              <w:br/>
              <w:t xml:space="preserve">  WHERE confirmed_at IS NULL;</w:t>
              <w:br/>
              <w:br/>
              <w:t>-- Job idempotency and worker queue lookup</w:t>
              <w:br/>
              <w:t>CREATE UNIQUE INDEX idx_processing_jobs_idempotency</w:t>
              <w:br/>
              <w:t xml:space="preserve">  ON processing_jobs (idempotency_key);</w:t>
              <w:br/>
              <w:br/>
              <w:t>CREATE INDEX idx_processing_jobs_status_type</w:t>
              <w:br/>
              <w:t xml:space="preserve">  ON processing_jobs (status, job_type, queued_at);</w:t>
              <w:br/>
              <w:br/>
              <w:t>-- Audit review by patient or actor</w:t>
              <w:br/>
              <w:t>CREATE INDEX idx_audit_events_patient_time</w:t>
              <w:br/>
              <w:t xml:space="preserve">  ON audit_events (patient_id, event_timestamp DESC);</w:t>
              <w:br/>
              <w:br/>
              <w:t>CREATE INDEX idx_audit_events_actor_time</w:t>
              <w:br/>
              <w:t xml:space="preserve">  ON audit_events (actor_id, event_timestamp DESC);</w:t>
              <w:br/>
              <w:t xml:space="preserve">\ </w:t>
              <w:br/>
              <w:t>-- Patient priority sorting by tier then score (Layer 2)</w:t>
              <w:br/>
              <w:t>CREATE INDEX idx_patients_risk_score</w:t>
              <w:br/>
              <w:t xml:space="preserve">  ON patients (risk_tier, risk_score DESC);</w:t>
              <w:br/>
              <w:t xml:space="preserve">\ </w:t>
              <w:br/>
              <w:t>-- Medication history column migration (safe to re-run)</w:t>
              <w:br/>
              <w:t>ALTER TABLE clinical_context</w:t>
              <w:br/>
              <w:t xml:space="preserve">  ADD COLUMN IF NOT EXISTS med_history JSONB;</w:t>
            </w:r>
          </w:p>
        </w:tc>
      </w:tr>
    </w:tbl>
    <w:p>
      <w:r>
        <w:br w:type="page"/>
      </w:r>
    </w:p>
    <w:p>
      <w:pPr>
        <w:pStyle w:val="Heading2"/>
      </w:pPr>
      <w:r>
        <w:t>6.9 Table 7 — processing_jobs</w:t>
      </w:r>
    </w:p>
    <w:p>
      <w:r>
        <w:t>One row per asynchronous task. This table decouples ingestion from heavy computation, provides retry visibility, and gives the team a simple queue that is realistic for a one-month MVP.</w:t>
      </w:r>
    </w:p>
    <w:tbl>
      <w:tblPr>
        <w:tblW w:type="auto" w:w="0"/>
        <w:tblLayout w:type="autofit"/>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job_id</w:t>
            </w:r>
          </w:p>
        </w:tc>
        <w:tc>
          <w:tcPr>
            <w:tcW w:type="dxa" w:w="2880"/>
          </w:tcPr>
          <w:p>
            <w:r>
              <w:t>UUID PK DEFAULT gen_random_uuid()</w:t>
            </w:r>
          </w:p>
        </w:tc>
        <w:tc>
          <w:tcPr>
            <w:tcW w:type="dxa" w:w="2880"/>
          </w:tcPr>
          <w:p>
            <w:r>
              <w:t>Stable identifier.</w:t>
            </w:r>
          </w:p>
        </w:tc>
      </w:tr>
      <w:tr>
        <w:tc>
          <w:tcPr>
            <w:tcW w:type="dxa" w:w="2880"/>
          </w:tcPr>
          <w:p>
            <w:r>
              <w:t>job_type</w:t>
            </w:r>
          </w:p>
        </w:tc>
        <w:tc>
          <w:tcPr>
            <w:tcW w:type="dxa" w:w="2880"/>
          </w:tcPr>
          <w:p>
            <w:r>
              <w:t>TEXT NOT NULL</w:t>
            </w:r>
          </w:p>
        </w:tc>
        <w:tc>
          <w:tcPr>
            <w:tcW w:type="dxa" w:w="2880"/>
          </w:tcPr>
          <w:p>
            <w:r>
              <w:t>'pattern_recompute' | 'briefing_generation' | 'summary_generation' | 'bundle_import'</w:t>
            </w:r>
          </w:p>
        </w:tc>
      </w:tr>
      <w:tr>
        <w:tc>
          <w:tcPr>
            <w:tcW w:type="dxa" w:w="2880"/>
          </w:tcPr>
          <w:p>
            <w:r>
              <w:t>patient_id</w:t>
            </w:r>
          </w:p>
        </w:tc>
        <w:tc>
          <w:tcPr>
            <w:tcW w:type="dxa" w:w="2880"/>
          </w:tcPr>
          <w:p>
            <w:r>
              <w:t>TEXT NULLABLE REFERENCES patients</w:t>
            </w:r>
          </w:p>
        </w:tc>
        <w:tc>
          <w:tcPr>
            <w:tcW w:type="dxa" w:w="2880"/>
          </w:tcPr>
          <w:p>
            <w:r>
              <w:t>Nullable for bundle-level jobs.</w:t>
            </w:r>
          </w:p>
        </w:tc>
      </w:tr>
      <w:tr>
        <w:tc>
          <w:tcPr>
            <w:tcW w:type="dxa" w:w="2880"/>
          </w:tcPr>
          <w:p>
            <w:r>
              <w:t>idempotency_key</w:t>
            </w:r>
          </w:p>
        </w:tc>
        <w:tc>
          <w:tcPr>
            <w:tcW w:type="dxa" w:w="2880"/>
          </w:tcPr>
          <w:p>
            <w:r>
              <w:t>TEXT NOT NULL</w:t>
            </w:r>
          </w:p>
        </w:tc>
        <w:tc>
          <w:tcPr>
            <w:tcW w:type="dxa" w:w="2880"/>
          </w:tcPr>
          <w:p>
            <w:r>
              <w:t>Prevents duplicate processing when the same event is retried.</w:t>
            </w:r>
          </w:p>
        </w:tc>
      </w:tr>
      <w:tr>
        <w:tc>
          <w:tcPr>
            <w:tcW w:type="dxa" w:w="2880"/>
          </w:tcPr>
          <w:p>
            <w:r>
              <w:t>status</w:t>
            </w:r>
          </w:p>
        </w:tc>
        <w:tc>
          <w:tcPr>
            <w:tcW w:type="dxa" w:w="2880"/>
          </w:tcPr>
          <w:p>
            <w:r>
              <w:t>TEXT NOT NULL</w:t>
            </w:r>
          </w:p>
        </w:tc>
        <w:tc>
          <w:tcPr>
            <w:tcW w:type="dxa" w:w="2880"/>
          </w:tcPr>
          <w:p>
            <w:r>
              <w:t>'queued' | 'running' | 'succeeded' | 'failed'</w:t>
            </w:r>
          </w:p>
        </w:tc>
      </w:tr>
      <w:tr>
        <w:tc>
          <w:tcPr>
            <w:tcW w:type="dxa" w:w="2880"/>
          </w:tcPr>
          <w:p>
            <w:r>
              <w:t>payload_ref</w:t>
            </w:r>
          </w:p>
        </w:tc>
        <w:tc>
          <w:tcPr>
            <w:tcW w:type="dxa" w:w="2880"/>
          </w:tcPr>
          <w:p>
            <w:r>
              <w:t>TEXT NULLABLE</w:t>
            </w:r>
          </w:p>
        </w:tc>
        <w:tc>
          <w:tcPr>
            <w:tcW w:type="dxa" w:w="2880"/>
          </w:tcPr>
          <w:p>
            <w:r>
              <w:t>Reference to source file, row, or bundle import context.</w:t>
            </w:r>
          </w:p>
        </w:tc>
      </w:tr>
      <w:tr>
        <w:tc>
          <w:tcPr>
            <w:tcW w:type="dxa" w:w="2880"/>
          </w:tcPr>
          <w:p>
            <w:r>
              <w:t>error_message</w:t>
            </w:r>
          </w:p>
        </w:tc>
        <w:tc>
          <w:tcPr>
            <w:tcW w:type="dxa" w:w="2880"/>
          </w:tcPr>
          <w:p>
            <w:r>
              <w:t>TEXT NULLABLE</w:t>
            </w:r>
          </w:p>
        </w:tc>
        <w:tc>
          <w:tcPr>
            <w:tcW w:type="dxa" w:w="2880"/>
          </w:tcPr>
          <w:p>
            <w:r>
              <w:t>Most recent failure reason if status = failed.</w:t>
            </w:r>
          </w:p>
        </w:tc>
      </w:tr>
      <w:tr>
        <w:tc>
          <w:tcPr>
            <w:tcW w:type="dxa" w:w="2880"/>
          </w:tcPr>
          <w:p>
            <w:r>
              <w:t>queued_at</w:t>
            </w:r>
          </w:p>
        </w:tc>
        <w:tc>
          <w:tcPr>
            <w:tcW w:type="dxa" w:w="2880"/>
          </w:tcPr>
          <w:p>
            <w:r>
              <w:t>TIMESTAMPTZ DEFAULT NOW()</w:t>
            </w:r>
          </w:p>
        </w:tc>
        <w:tc>
          <w:tcPr>
            <w:tcW w:type="dxa" w:w="2880"/>
          </w:tcPr>
          <w:p>
            <w:r>
              <w:t>When the job entered the queue.</w:t>
            </w:r>
          </w:p>
        </w:tc>
      </w:tr>
      <w:tr>
        <w:tc>
          <w:tcPr>
            <w:tcW w:type="dxa" w:w="2880"/>
          </w:tcPr>
          <w:p>
            <w:r>
              <w:t>started_at</w:t>
            </w:r>
          </w:p>
        </w:tc>
        <w:tc>
          <w:tcPr>
            <w:tcW w:type="dxa" w:w="2880"/>
          </w:tcPr>
          <w:p>
            <w:r>
              <w:t>TIMESTAMPTZ NULLABLE</w:t>
            </w:r>
          </w:p>
        </w:tc>
        <w:tc>
          <w:tcPr>
            <w:tcW w:type="dxa" w:w="2880"/>
          </w:tcPr>
          <w:p>
            <w:r>
              <w:t>Worker start time.</w:t>
            </w:r>
          </w:p>
        </w:tc>
      </w:tr>
      <w:tr>
        <w:tc>
          <w:tcPr>
            <w:tcW w:type="dxa" w:w="2880"/>
          </w:tcPr>
          <w:p>
            <w:r>
              <w:t>finished_at</w:t>
            </w:r>
          </w:p>
        </w:tc>
        <w:tc>
          <w:tcPr>
            <w:tcW w:type="dxa" w:w="2880"/>
          </w:tcPr>
          <w:p>
            <w:r>
              <w:t>TIMESTAMPTZ NULLABLE</w:t>
            </w:r>
          </w:p>
        </w:tc>
        <w:tc>
          <w:tcPr>
            <w:tcW w:type="dxa" w:w="2880"/>
          </w:tcPr>
          <w:p>
            <w:r>
              <w:t>Completion time.</w:t>
            </w:r>
          </w:p>
        </w:tc>
      </w:tr>
      <w:tr>
        <w:tc>
          <w:tcPr>
            <w:tcW w:type="dxa" w:w="2880"/>
          </w:tcPr>
          <w:p>
            <w:r>
              <w:t>created_by</w:t>
            </w:r>
          </w:p>
        </w:tc>
        <w:tc>
          <w:tcPr>
            <w:tcW w:type="dxa" w:w="2880"/>
          </w:tcPr>
          <w:p>
            <w:r>
              <w:t>TEXT NOT NULL DEFAULT system</w:t>
            </w:r>
          </w:p>
        </w:tc>
        <w:tc>
          <w:tcPr>
            <w:tcW w:type="dxa" w:w="2880"/>
          </w:tcPr>
          <w:p>
            <w:r>
              <w:t>system | clinician | admin</w:t>
            </w:r>
          </w:p>
        </w:tc>
      </w:tr>
    </w:tbl>
    <w:p>
      <w:pPr>
        <w:pStyle w:val="Heading2"/>
      </w:pPr>
      <w:r>
        <w:t>6.10 Table 8 — audit_events</w:t>
      </w:r>
    </w:p>
    <w:p>
      <w:r>
        <w:t>One row per access or sensitive workflow event. This is the MVP audit trail for dashboard views, bundle imports, reading ingestion, alert acknowledgement, and briefing generation.</w:t>
      </w:r>
    </w:p>
    <w:tbl>
      <w:tblPr>
        <w:tblW w:type="auto" w:w="0"/>
        <w:tblLayout w:type="autofit"/>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audit_id</w:t>
            </w:r>
          </w:p>
        </w:tc>
        <w:tc>
          <w:tcPr>
            <w:tcW w:type="dxa" w:w="2880"/>
          </w:tcPr>
          <w:p>
            <w:r>
              <w:t>UUID PK DEFAULT gen_random_uuid()</w:t>
            </w:r>
          </w:p>
        </w:tc>
        <w:tc>
          <w:tcPr>
            <w:tcW w:type="dxa" w:w="2880"/>
          </w:tcPr>
          <w:p>
            <w:r>
              <w:t>Stable identifier.</w:t>
            </w:r>
          </w:p>
        </w:tc>
      </w:tr>
      <w:tr>
        <w:tc>
          <w:tcPr>
            <w:tcW w:type="dxa" w:w="2880"/>
          </w:tcPr>
          <w:p>
            <w:r>
              <w:t>actor_type</w:t>
            </w:r>
          </w:p>
        </w:tc>
        <w:tc>
          <w:tcPr>
            <w:tcW w:type="dxa" w:w="2880"/>
          </w:tcPr>
          <w:p>
            <w:r>
              <w:t>TEXT NOT NULL</w:t>
            </w:r>
          </w:p>
        </w:tc>
        <w:tc>
          <w:tcPr>
            <w:tcW w:type="dxa" w:w="2880"/>
          </w:tcPr>
          <w:p>
            <w:r>
              <w:t>'system' | 'clinician' | 'admin'</w:t>
            </w:r>
          </w:p>
        </w:tc>
      </w:tr>
      <w:tr>
        <w:tc>
          <w:tcPr>
            <w:tcW w:type="dxa" w:w="2880"/>
          </w:tcPr>
          <w:p>
            <w:r>
              <w:t>actor_id</w:t>
            </w:r>
          </w:p>
        </w:tc>
        <w:tc>
          <w:tcPr>
            <w:tcW w:type="dxa" w:w="2880"/>
          </w:tcPr>
          <w:p>
            <w:r>
              <w:t>TEXT NULLABLE</w:t>
            </w:r>
          </w:p>
        </w:tc>
        <w:tc>
          <w:tcPr>
            <w:tcW w:type="dxa" w:w="2880"/>
          </w:tcPr>
          <w:p>
            <w:r>
              <w:t>Named user id or service account id.</w:t>
            </w:r>
          </w:p>
        </w:tc>
      </w:tr>
      <w:tr>
        <w:tc>
          <w:tcPr>
            <w:tcW w:type="dxa" w:w="2880"/>
          </w:tcPr>
          <w:p>
            <w:r>
              <w:t>patient_id</w:t>
            </w:r>
          </w:p>
        </w:tc>
        <w:tc>
          <w:tcPr>
            <w:tcW w:type="dxa" w:w="2880"/>
          </w:tcPr>
          <w:p>
            <w:r>
              <w:t>TEXT NULLABLE REFERENCES patients</w:t>
            </w:r>
          </w:p>
        </w:tc>
        <w:tc>
          <w:tcPr>
            <w:tcW w:type="dxa" w:w="2880"/>
          </w:tcPr>
          <w:p>
            <w:r>
              <w:t>Nullable for system-wide events.</w:t>
            </w:r>
          </w:p>
        </w:tc>
      </w:tr>
      <w:tr>
        <w:tc>
          <w:tcPr>
            <w:tcW w:type="dxa" w:w="2880"/>
          </w:tcPr>
          <w:p>
            <w:r>
              <w:t>action</w:t>
            </w:r>
          </w:p>
        </w:tc>
        <w:tc>
          <w:tcPr>
            <w:tcW w:type="dxa" w:w="2880"/>
          </w:tcPr>
          <w:p>
            <w:r>
              <w:t>TEXT NOT NULL</w:t>
            </w:r>
          </w:p>
        </w:tc>
        <w:tc>
          <w:tcPr>
            <w:tcW w:type="dxa" w:w="2880"/>
          </w:tcPr>
          <w:p>
            <w:r>
              <w:t>Examples: 'bundle_import', 'reading_ingested', 'briefing_viewed', 'alert_acknowledged'.</w:t>
            </w:r>
          </w:p>
        </w:tc>
      </w:tr>
      <w:tr>
        <w:tc>
          <w:tcPr>
            <w:tcW w:type="dxa" w:w="2880"/>
          </w:tcPr>
          <w:p>
            <w:r>
              <w:t>resource_type</w:t>
            </w:r>
          </w:p>
        </w:tc>
        <w:tc>
          <w:tcPr>
            <w:tcW w:type="dxa" w:w="2880"/>
          </w:tcPr>
          <w:p>
            <w:r>
              <w:t>TEXT NOT NULL</w:t>
            </w:r>
          </w:p>
        </w:tc>
        <w:tc>
          <w:tcPr>
            <w:tcW w:type="dxa" w:w="2880"/>
          </w:tcPr>
          <w:p>
            <w:r>
              <w:t>Examples: 'Bundle', 'Reading', 'Briefing', 'Alert'.</w:t>
            </w:r>
          </w:p>
        </w:tc>
      </w:tr>
      <w:tr>
        <w:tc>
          <w:tcPr>
            <w:tcW w:type="dxa" w:w="2880"/>
          </w:tcPr>
          <w:p>
            <w:r>
              <w:t>resource_id</w:t>
            </w:r>
          </w:p>
        </w:tc>
        <w:tc>
          <w:tcPr>
            <w:tcW w:type="dxa" w:w="2880"/>
          </w:tcPr>
          <w:p>
            <w:r>
              <w:t>TEXT NULLABLE</w:t>
            </w:r>
          </w:p>
        </w:tc>
        <w:tc>
          <w:tcPr>
            <w:tcW w:type="dxa" w:w="2880"/>
          </w:tcPr>
          <w:p>
            <w:r>
              <w:t>Identifier of the affected resource when present.</w:t>
            </w:r>
          </w:p>
        </w:tc>
      </w:tr>
      <w:tr>
        <w:tc>
          <w:tcPr>
            <w:tcW w:type="dxa" w:w="2880"/>
          </w:tcPr>
          <w:p>
            <w:r>
              <w:t>outcome</w:t>
            </w:r>
          </w:p>
        </w:tc>
        <w:tc>
          <w:tcPr>
            <w:tcW w:type="dxa" w:w="2880"/>
          </w:tcPr>
          <w:p>
            <w:r>
              <w:t>TEXT NOT NULL</w:t>
            </w:r>
          </w:p>
        </w:tc>
        <w:tc>
          <w:tcPr>
            <w:tcW w:type="dxa" w:w="2880"/>
          </w:tcPr>
          <w:p>
            <w:r>
              <w:t>'success' | 'failure'</w:t>
            </w:r>
          </w:p>
        </w:tc>
      </w:tr>
      <w:tr>
        <w:tc>
          <w:tcPr>
            <w:tcW w:type="dxa" w:w="2880"/>
          </w:tcPr>
          <w:p>
            <w:r>
              <w:t>request_id</w:t>
            </w:r>
          </w:p>
        </w:tc>
        <w:tc>
          <w:tcPr>
            <w:tcW w:type="dxa" w:w="2880"/>
          </w:tcPr>
          <w:p>
            <w:r>
              <w:t>TEXT NULLABLE</w:t>
            </w:r>
          </w:p>
        </w:tc>
        <w:tc>
          <w:tcPr>
            <w:tcW w:type="dxa" w:w="2880"/>
          </w:tcPr>
          <w:p>
            <w:r>
              <w:t>Correlation id from API or worker run.</w:t>
            </w:r>
          </w:p>
        </w:tc>
      </w:tr>
      <w:tr>
        <w:tc>
          <w:tcPr>
            <w:tcW w:type="dxa" w:w="2880"/>
          </w:tcPr>
          <w:p>
            <w:r>
              <w:t>event_timestamp</w:t>
            </w:r>
          </w:p>
        </w:tc>
        <w:tc>
          <w:tcPr>
            <w:tcW w:type="dxa" w:w="2880"/>
          </w:tcPr>
          <w:p>
            <w:r>
              <w:t>TIMESTAMPTZ DEFAULT NOW()</w:t>
            </w:r>
          </w:p>
        </w:tc>
        <w:tc>
          <w:tcPr>
            <w:tcW w:type="dxa" w:w="2880"/>
          </w:tcPr>
          <w:p>
            <w:r>
              <w:t>When the event occurred.</w:t>
            </w:r>
          </w:p>
        </w:tc>
      </w:tr>
      <w:tr>
        <w:tc>
          <w:tcPr>
            <w:tcW w:type="dxa" w:w="2880"/>
          </w:tcPr>
          <w:p>
            <w:r>
              <w:t>details</w:t>
            </w:r>
          </w:p>
        </w:tc>
        <w:tc>
          <w:tcPr>
            <w:tcW w:type="dxa" w:w="2880"/>
          </w:tcPr>
          <w:p>
            <w:r>
              <w:t>TEXT NULLABLE</w:t>
            </w:r>
          </w:p>
        </w:tc>
        <w:tc>
          <w:tcPr>
            <w:tcW w:type="dxa" w:w="2880"/>
          </w:tcPr>
          <w:p>
            <w:r>
              <w:t>Short human-readable note; do not place free-text PHI here.</w:t>
            </w:r>
          </w:p>
        </w:tc>
      </w:tr>
    </w:tbl>
    <w:p>
      <w:pPr>
        <w:pStyle w:val="Heading1"/>
        <w:pBdr>
          <w:bottom w:val="single" w:color="1B3A6B" w:sz="8" w:space="4"/>
        </w:pBdr>
        <w:spacing w:after="160" w:before="400"/>
      </w:pPr>
      <w:r>
        <w:rPr>
          <w:rFonts w:ascii="Arial" w:cs="Arial" w:eastAsia="Arial" w:hAnsi="Arial"/>
          <w:b/>
          <w:bCs/>
          <w:color w:val="1B3A6B"/>
          <w:sz w:val="36"/>
          <w:szCs w:val="36"/>
        </w:rPr>
        <w:t xml:space="preserve">7. Pattern Engine — Core Queries</w:t>
      </w:r>
    </w:p>
    <w:p>
      <w:pPr>
        <w:spacing w:after="120" w:before="80"/>
      </w:pPr>
      <w:r>
        <w:t>These queries define the core SQL logic for the MVP. They are not executed directly in the HTTP request path. Reading ingestion writes the source row first and then enqueues background processing so recalculation, alert generation, and briefing generation happen asynchronously and can be retried safely.</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7.1 Gap detection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4F8" w:val="clear"/>
            <w:tcMar>
              <w:top w:type="dxa" w:w="120"/>
              <w:left w:type="dxa" w:w="200"/>
              <w:bottom w:type="dxa" w:w="120"/>
              <w:right w:type="dxa" w:w="120"/>
            </w:tcMar>
          </w:tcPr>
          <w:p>
            <w:pPr>
              <w:spacing w:after="0" w:before="0"/>
            </w:pPr>
            <w:r>
              <w:rPr>
                <w:rFonts w:ascii="Courier New" w:cs="Courier New" w:eastAsia="Courier New" w:hAnsi="Courier New"/>
                <w:color w:val="1B3A6B"/>
                <w:sz w:val="20"/>
                <w:szCs w:val="20"/>
              </w:rPr>
              <w:t xml:space="preserve">SELECT</w:t>
            </w:r>
          </w:p>
          <w:p>
            <w:pPr>
              <w:spacing w:after="0" w:before="0"/>
            </w:pPr>
            <w:r>
              <w:rPr>
                <w:rFonts w:ascii="Courier New" w:cs="Courier New" w:eastAsia="Courier New" w:hAnsi="Courier New"/>
                <w:color w:val="1B3A6B"/>
                <w:sz w:val="20"/>
                <w:szCs w:val="20"/>
              </w:rPr>
              <w:t xml:space="preserve">  patient_id,</w:t>
            </w:r>
          </w:p>
          <w:p>
            <w:pPr>
              <w:spacing w:after="0" w:before="0"/>
            </w:pPr>
            <w:r>
              <w:rPr>
                <w:rFonts w:ascii="Courier New" w:cs="Courier New" w:eastAsia="Courier New" w:hAnsi="Courier New"/>
                <w:color w:val="1B3A6B"/>
                <w:sz w:val="20"/>
                <w:szCs w:val="20"/>
              </w:rPr>
              <w:t xml:space="preserve">  EXTRACT(EPOCH FROM (NOW() - MAX(effective_datetime)))</w:t>
            </w:r>
          </w:p>
          <w:p>
            <w:pPr>
              <w:spacing w:after="0" w:before="0"/>
            </w:pPr>
            <w:r>
              <w:rPr>
                <w:rFonts w:ascii="Courier New" w:cs="Courier New" w:eastAsia="Courier New" w:hAnsi="Courier New"/>
                <w:color w:val="1B3A6B"/>
                <w:sz w:val="20"/>
                <w:szCs w:val="20"/>
              </w:rPr>
              <w:t xml:space="preserve">    / 86400 AS gap_days</w:t>
            </w:r>
          </w:p>
          <w:p>
            <w:pPr>
              <w:spacing w:after="0" w:before="0"/>
            </w:pPr>
            <w:r>
              <w:rPr>
                <w:rFonts w:ascii="Courier New" w:cs="Courier New" w:eastAsia="Courier New" w:hAnsi="Courier New"/>
                <w:color w:val="1B3A6B"/>
                <w:sz w:val="20"/>
                <w:szCs w:val="20"/>
              </w:rPr>
              <w:t xml:space="preserve">FROM readings</w:t>
            </w:r>
          </w:p>
          <w:p>
            <w:pPr>
              <w:spacing w:after="0" w:before="0"/>
            </w:pPr>
            <w:r>
              <w:rPr>
                <w:rFonts w:ascii="Courier New" w:cs="Courier New" w:eastAsia="Courier New" w:hAnsi="Courier New"/>
                <w:color w:val="1B3A6B"/>
                <w:sz w:val="20"/>
                <w:szCs w:val="20"/>
              </w:rPr>
              <w:t xml:space="preserve">WHERE patient_id = $1</w:t>
            </w:r>
          </w:p>
          <w:p>
            <w:pPr>
              <w:spacing w:after="0" w:before="0"/>
            </w:pPr>
            <w:r>
              <w:rPr>
                <w:rFonts w:ascii="Courier New" w:cs="Courier New" w:eastAsia="Courier New" w:hAnsi="Courier New"/>
                <w:color w:val="1B3A6B"/>
                <w:sz w:val="20"/>
                <w:szCs w:val="20"/>
              </w:rPr>
              <w:t xml:space="preserve">GROUP BY patient_id;</w:t>
            </w:r>
          </w:p>
          <w:p>
            <w:pPr>
              <w:spacing w:after="0" w:before="0"/>
            </w:pPr>
            <w:r>
              <w:rPr>
                <w:rFonts w:ascii="Courier New" w:cs="Courier New" w:eastAsia="Courier New" w:hAnsi="Courier New"/>
                <w:color w:val="1B3A6B"/>
                <w:sz w:val="20"/>
                <w:szCs w:val="20"/>
              </w:rPr>
              <w:t xml:space="preserve"/>
            </w:r>
          </w:p>
          <w:p>
            <w:pPr>
              <w:spacing w:after="0" w:before="0"/>
            </w:pPr>
            <w:r>
              <w:rPr>
                <w:rFonts w:ascii="Courier New" w:cs="Courier New" w:eastAsia="Courier New" w:hAnsi="Courier New"/>
                <w:color w:val="1B3A6B"/>
                <w:sz w:val="20"/>
                <w:szCs w:val="20"/>
              </w:rPr>
              <w:t xml:space="preserve">-- Compare gap_days against risk tier thresholds:</w:t>
            </w:r>
          </w:p>
          <w:p>
            <w:pPr>
              <w:spacing w:after="0" w:before="0"/>
            </w:pPr>
            <w:r>
              <w:rPr>
                <w:rFonts w:ascii="Courier New" w:cs="Courier New" w:eastAsia="Courier New" w:hAnsi="Courier New"/>
                <w:color w:val="1B3A6B"/>
                <w:sz w:val="20"/>
                <w:szCs w:val="20"/>
              </w:rPr>
              <w:t xml:space="preserve">-- High:   flag &gt;= 1, urgent &gt;= 3</w:t>
            </w:r>
          </w:p>
          <w:p>
            <w:pPr>
              <w:spacing w:after="0" w:before="0"/>
            </w:pPr>
            <w:r>
              <w:rPr>
                <w:rFonts w:ascii="Courier New" w:cs="Courier New" w:eastAsia="Courier New" w:hAnsi="Courier New"/>
                <w:color w:val="1B3A6B"/>
                <w:sz w:val="20"/>
                <w:szCs w:val="20"/>
              </w:rPr>
              <w:t xml:space="preserve">-- Medium: flag &gt;= 3, urgent &gt;= 5</w:t>
            </w:r>
          </w:p>
          <w:p>
            <w:pPr>
              <w:spacing w:after="0" w:before="0"/>
            </w:pPr>
            <w:r>
              <w:rPr>
                <w:rFonts w:ascii="Courier New" w:cs="Courier New" w:eastAsia="Courier New" w:hAnsi="Courier New"/>
                <w:color w:val="1B3A6B"/>
                <w:sz w:val="20"/>
                <w:szCs w:val="20"/>
              </w:rPr>
              <w:t xml:space="preserve">-- Low:    flag &gt;= 7, urgent &gt;= 14</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7.2 Therapeutic inertia detection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4F8" w:val="clear"/>
            <w:tcMar>
              <w:top w:type="dxa" w:w="120"/>
              <w:left w:type="dxa" w:w="200"/>
              <w:bottom w:type="dxa" w:w="120"/>
              <w:right w:type="dxa" w:w="120"/>
            </w:tcMar>
          </w:tcPr>
          <w:p>
            <w:pPr>
              <w:spacing w:after="0" w:before="0"/>
            </w:pPr>
            <w:r>
              <w:rPr>
                <w:rFonts w:ascii="Courier New" w:cs="Courier New" w:eastAsia="Courier New" w:hAnsi="Courier New"/>
                <w:color w:val="1B3A6B"/>
                <w:sz w:val="20"/>
                <w:szCs w:val="20"/>
              </w:rPr>
              <w:t xml:space="preserve">SELECT</w:t>
            </w:r>
          </w:p>
          <w:p>
            <w:pPr>
              <w:spacing w:after="0" w:before="0"/>
            </w:pPr>
            <w:r>
              <w:rPr>
                <w:rFonts w:ascii="Courier New" w:cs="Courier New" w:eastAsia="Courier New" w:hAnsi="Courier New"/>
                <w:color w:val="1B3A6B"/>
                <w:sz w:val="20"/>
                <w:szCs w:val="20"/>
              </w:rPr>
              <w:t xml:space="preserve">  AVG(r.systolic_avg)       AS rolling_avg_systolic,</w:t>
            </w:r>
          </w:p>
          <w:p>
            <w:pPr>
              <w:spacing w:after="0" w:before="0"/>
            </w:pPr>
            <w:r>
              <w:rPr>
                <w:rFonts w:ascii="Courier New" w:cs="Courier New" w:eastAsia="Courier New" w:hAnsi="Courier New"/>
                <w:color w:val="1B3A6B"/>
                <w:sz w:val="20"/>
                <w:szCs w:val="20"/>
              </w:rPr>
              <w:t xml:space="preserve">  MIN(r.effective_datetime) AS elevated_since,</w:t>
            </w:r>
          </w:p>
          <w:p>
            <w:pPr>
              <w:spacing w:after="0" w:before="0"/>
            </w:pPr>
            <w:r>
              <w:rPr>
                <w:rFonts w:ascii="Courier New" w:cs="Courier New" w:eastAsia="Courier New" w:hAnsi="Courier New"/>
                <w:color w:val="1B3A6B"/>
                <w:sz w:val="20"/>
                <w:szCs w:val="20"/>
              </w:rPr>
              <w:t xml:space="preserve">  NOW() - MIN(r.effective_datetime) AS duration,</w:t>
            </w:r>
          </w:p>
          <w:p>
            <w:pPr>
              <w:spacing w:after="0" w:before="0"/>
            </w:pPr>
            <w:r>
              <w:rPr>
                <w:rFonts w:ascii="Courier New" w:cs="Courier New" w:eastAsia="Courier New" w:hAnsi="Courier New"/>
                <w:color w:val="1B3A6B"/>
                <w:sz w:val="20"/>
                <w:szCs w:val="20"/>
              </w:rPr>
              <w:t xml:space="preserve">  cc.last_med_change</w:t>
            </w:r>
          </w:p>
          <w:p>
            <w:pPr>
              <w:spacing w:after="0" w:before="0"/>
            </w:pPr>
            <w:r>
              <w:rPr>
                <w:rFonts w:ascii="Courier New" w:cs="Courier New" w:eastAsia="Courier New" w:hAnsi="Courier New"/>
                <w:color w:val="1B3A6B"/>
                <w:sz w:val="20"/>
                <w:szCs w:val="20"/>
              </w:rPr>
              <w:t xml:space="preserve">FROM readings r</w:t>
            </w:r>
          </w:p>
          <w:p>
            <w:pPr>
              <w:spacing w:after="0" w:before="0"/>
            </w:pPr>
            <w:r>
              <w:rPr>
                <w:rFonts w:ascii="Courier New" w:cs="Courier New" w:eastAsia="Courier New" w:hAnsi="Courier New"/>
                <w:color w:val="1B3A6B"/>
                <w:sz w:val="20"/>
                <w:szCs w:val="20"/>
              </w:rPr>
              <w:t xml:space="preserve">JOIN clinical_context cc USING (patient_id)</w:t>
            </w:r>
          </w:p>
          <w:p>
            <w:pPr>
              <w:spacing w:after="0" w:before="0"/>
            </w:pPr>
            <w:r>
              <w:rPr>
                <w:rFonts w:ascii="Courier New" w:cs="Courier New" w:eastAsia="Courier New" w:hAnsi="Courier New"/>
                <w:color w:val="1B3A6B"/>
                <w:sz w:val="20"/>
                <w:szCs w:val="20"/>
              </w:rPr>
              <w:t xml:space="preserve">WHERE r.patient_id = $1</w:t>
            </w:r>
          </w:p>
          <w:p>
            <w:pPr>
              <w:spacing w:after="0" w:before="0"/>
            </w:pPr>
            <w:r>
              <w:rPr>
                <w:rFonts w:ascii="Courier New" w:cs="Courier New" w:eastAsia="Courier New" w:hAnsi="Courier New"/>
                <w:color w:val="1B3A6B"/>
                <w:sz w:val="20"/>
                <w:szCs w:val="20"/>
              </w:rPr>
              <w:t xml:space="preserve">  AND r.effective_datetime &gt;= NOW() - INTERVAL '28 days'</w:t>
            </w:r>
          </w:p>
          <w:p>
            <w:pPr>
              <w:spacing w:after="0" w:before="0"/>
            </w:pPr>
            <w:r>
              <w:rPr>
                <w:rFonts w:ascii="Courier New" w:cs="Courier New" w:eastAsia="Courier New" w:hAnsi="Courier New"/>
                <w:color w:val="1B3A6B"/>
                <w:sz w:val="20"/>
                <w:szCs w:val="20"/>
              </w:rPr>
              <w:t xml:space="preserve">  AND r.systolic_avg &gt;= 140</w:t>
            </w:r>
          </w:p>
          <w:p>
            <w:pPr>
              <w:spacing w:after="0" w:before="0"/>
            </w:pPr>
            <w:r>
              <w:rPr>
                <w:rFonts w:ascii="Courier New" w:cs="Courier New" w:eastAsia="Courier New" w:hAnsi="Courier New"/>
                <w:color w:val="1B3A6B"/>
                <w:sz w:val="20"/>
                <w:szCs w:val="20"/>
              </w:rPr>
              <w:t xml:space="preserve">GROUP BY cc.last_med_change</w:t>
            </w:r>
          </w:p>
          <w:p>
            <w:pPr>
              <w:spacing w:after="0" w:before="0"/>
            </w:pPr>
            <w:r>
              <w:rPr>
                <w:rFonts w:ascii="Courier New" w:cs="Courier New" w:eastAsia="Courier New" w:hAnsi="Courier New"/>
                <w:color w:val="1B3A6B"/>
                <w:sz w:val="20"/>
                <w:szCs w:val="20"/>
              </w:rPr>
              <w:t xml:space="preserve">HAVING</w:t>
            </w:r>
          </w:p>
          <w:p>
            <w:pPr>
              <w:spacing w:after="0" w:before="0"/>
            </w:pPr>
            <w:r>
              <w:rPr>
                <w:rFonts w:ascii="Courier New" w:cs="Courier New" w:eastAsia="Courier New" w:hAnsi="Courier New"/>
                <w:color w:val="1B3A6B"/>
                <w:sz w:val="20"/>
                <w:szCs w:val="20"/>
              </w:rPr>
              <w:t xml:space="preserve">  COUNT(*) &gt;= 5</w:t>
            </w:r>
          </w:p>
          <w:p>
            <w:pPr>
              <w:spacing w:after="0" w:before="0"/>
            </w:pPr>
            <w:r>
              <w:rPr>
                <w:rFonts w:ascii="Courier New" w:cs="Courier New" w:eastAsia="Courier New" w:hAnsi="Courier New"/>
                <w:color w:val="1B3A6B"/>
                <w:sz w:val="20"/>
                <w:szCs w:val="20"/>
              </w:rPr>
              <w:t xml:space="preserve">  AND NOW() - MIN(r.effective_datetime) &gt; INTERVAL '7 days'</w:t>
            </w:r>
          </w:p>
          <w:p>
            <w:pPr>
              <w:spacing w:after="0" w:before="0"/>
            </w:pPr>
            <w:r>
              <w:rPr>
                <w:rFonts w:ascii="Courier New" w:cs="Courier New" w:eastAsia="Courier New" w:hAnsi="Courier New"/>
                <w:color w:val="1B3A6B"/>
                <w:sz w:val="20"/>
                <w:szCs w:val="20"/>
              </w:rPr>
              <w:t xml:space="preserve">  AND (cc.last_med_change IS NULL</w:t>
            </w:r>
          </w:p>
          <w:p>
            <w:pPr>
              <w:spacing w:after="0" w:before="0"/>
            </w:pPr>
            <w:r>
              <w:rPr>
                <w:rFonts w:ascii="Courier New" w:cs="Courier New" w:eastAsia="Courier New" w:hAnsi="Courier New"/>
                <w:color w:val="1B3A6B"/>
                <w:sz w:val="20"/>
                <w:szCs w:val="20"/>
              </w:rPr>
              <w:t xml:space="preserve">    OR cc.last_med_change &lt; MIN(r.effective_datetime)::DATE);</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7.3 28-day reading trend (for briefing and sparkline)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4F8" w:val="clear"/>
            <w:tcMar>
              <w:top w:type="dxa" w:w="120"/>
              <w:left w:type="dxa" w:w="200"/>
              <w:bottom w:type="dxa" w:w="120"/>
              <w:right w:type="dxa" w:w="120"/>
            </w:tcMar>
          </w:tcPr>
          <w:p>
            <w:pPr>
              <w:spacing w:after="0" w:before="0"/>
            </w:pPr>
            <w:r>
              <w:rPr>
                <w:rFonts w:ascii="Courier New" w:cs="Courier New" w:eastAsia="Courier New" w:hAnsi="Courier New"/>
                <w:color w:val="1B3A6B"/>
                <w:sz w:val="20"/>
                <w:szCs w:val="20"/>
              </w:rPr>
              <w:t xml:space="preserve">SELECT</w:t>
            </w:r>
          </w:p>
          <w:p>
            <w:pPr>
              <w:spacing w:after="0" w:before="0"/>
            </w:pPr>
            <w:r>
              <w:rPr>
                <w:rFonts w:ascii="Courier New" w:cs="Courier New" w:eastAsia="Courier New" w:hAnsi="Courier New"/>
                <w:color w:val="1B3A6B"/>
                <w:sz w:val="20"/>
                <w:szCs w:val="20"/>
              </w:rPr>
              <w:t xml:space="preserve">  reading_id,</w:t>
            </w:r>
          </w:p>
          <w:p>
            <w:pPr>
              <w:spacing w:after="0" w:before="0"/>
            </w:pPr>
            <w:r>
              <w:rPr>
                <w:rFonts w:ascii="Courier New" w:cs="Courier New" w:eastAsia="Courier New" w:hAnsi="Courier New"/>
                <w:color w:val="1B3A6B"/>
                <w:sz w:val="20"/>
                <w:szCs w:val="20"/>
              </w:rPr>
              <w:t xml:space="preserve">  systolic_avg,</w:t>
            </w:r>
          </w:p>
          <w:p>
            <w:pPr>
              <w:spacing w:after="0" w:before="0"/>
            </w:pPr>
            <w:r>
              <w:rPr>
                <w:rFonts w:ascii="Courier New" w:cs="Courier New" w:eastAsia="Courier New" w:hAnsi="Courier New"/>
                <w:color w:val="1B3A6B"/>
                <w:sz w:val="20"/>
                <w:szCs w:val="20"/>
              </w:rPr>
              <w:t xml:space="preserve">  diastolic_avg,</w:t>
            </w:r>
          </w:p>
          <w:p>
            <w:pPr>
              <w:spacing w:after="0" w:before="0"/>
            </w:pPr>
            <w:r>
              <w:rPr>
                <w:rFonts w:ascii="Courier New" w:cs="Courier New" w:eastAsia="Courier New" w:hAnsi="Courier New"/>
                <w:color w:val="1B3A6B"/>
                <w:sz w:val="20"/>
                <w:szCs w:val="20"/>
              </w:rPr>
              <w:t xml:space="preserve">  heart_rate_avg,</w:t>
            </w:r>
          </w:p>
          <w:p>
            <w:pPr>
              <w:spacing w:after="0" w:before="0"/>
            </w:pPr>
            <w:r>
              <w:rPr>
                <w:rFonts w:ascii="Courier New" w:cs="Courier New" w:eastAsia="Courier New" w:hAnsi="Courier New"/>
                <w:color w:val="1B3A6B"/>
                <w:sz w:val="20"/>
                <w:szCs w:val="20"/>
              </w:rPr>
              <w:t xml:space="preserve">  effective_datetime,</w:t>
            </w:r>
          </w:p>
          <w:p>
            <w:pPr>
              <w:spacing w:after="0" w:before="0"/>
            </w:pPr>
            <w:r>
              <w:rPr>
                <w:rFonts w:ascii="Courier New" w:cs="Courier New" w:eastAsia="Courier New" w:hAnsi="Courier New"/>
                <w:color w:val="1B3A6B"/>
                <w:sz w:val="20"/>
                <w:szCs w:val="20"/>
              </w:rPr>
              <w:t xml:space="preserve">  session,</w:t>
            </w:r>
          </w:p>
          <w:p>
            <w:pPr>
              <w:spacing w:after="0" w:before="0"/>
            </w:pPr>
            <w:r>
              <w:rPr>
                <w:rFonts w:ascii="Courier New" w:cs="Courier New" w:eastAsia="Courier New" w:hAnsi="Courier New"/>
                <w:color w:val="1B3A6B"/>
                <w:sz w:val="20"/>
                <w:szCs w:val="20"/>
              </w:rPr>
              <w:t xml:space="preserve">  source</w:t>
            </w:r>
          </w:p>
          <w:p>
            <w:pPr>
              <w:spacing w:after="0" w:before="0"/>
            </w:pPr>
            <w:r>
              <w:rPr>
                <w:rFonts w:ascii="Courier New" w:cs="Courier New" w:eastAsia="Courier New" w:hAnsi="Courier New"/>
                <w:color w:val="1B3A6B"/>
                <w:sz w:val="20"/>
                <w:szCs w:val="20"/>
              </w:rPr>
              <w:t xml:space="preserve">FROM readings</w:t>
            </w:r>
          </w:p>
          <w:p>
            <w:pPr>
              <w:spacing w:after="0" w:before="0"/>
            </w:pPr>
            <w:r>
              <w:rPr>
                <w:rFonts w:ascii="Courier New" w:cs="Courier New" w:eastAsia="Courier New" w:hAnsi="Courier New"/>
                <w:color w:val="1B3A6B"/>
                <w:sz w:val="20"/>
                <w:szCs w:val="20"/>
              </w:rPr>
              <w:t xml:space="preserve">WHERE patient_id = $1</w:t>
            </w:r>
          </w:p>
          <w:p>
            <w:pPr>
              <w:spacing w:after="0" w:before="0"/>
            </w:pPr>
            <w:r>
              <w:rPr>
                <w:rFonts w:ascii="Courier New" w:cs="Courier New" w:eastAsia="Courier New" w:hAnsi="Courier New"/>
                <w:color w:val="1B3A6B"/>
                <w:sz w:val="20"/>
                <w:szCs w:val="20"/>
              </w:rPr>
              <w:t xml:space="preserve">  AND effective_datetime &gt;= NOW() - INTERVAL '28 days'</w:t>
            </w:r>
          </w:p>
          <w:p>
            <w:pPr>
              <w:spacing w:after="0" w:before="0"/>
            </w:pPr>
            <w:r>
              <w:rPr>
                <w:rFonts w:ascii="Courier New" w:cs="Courier New" w:eastAsia="Courier New" w:hAnsi="Courier New"/>
                <w:color w:val="1B3A6B"/>
                <w:sz w:val="20"/>
                <w:szCs w:val="20"/>
              </w:rPr>
              <w:t xml:space="preserve">ORDER BY effective_datetime ASC;</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7.4 Appointment-day briefing scheduler (runs at 7:30 AM)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4F8" w:val="clear"/>
            <w:tcMar>
              <w:top w:type="dxa" w:w="120"/>
              <w:left w:type="dxa" w:w="200"/>
              <w:bottom w:type="dxa" w:w="120"/>
              <w:right w:type="dxa" w:w="120"/>
            </w:tcMar>
          </w:tcPr>
          <w:p>
            <w:pPr>
              <w:spacing w:after="0" w:before="0"/>
            </w:pPr>
            <w:r>
              <w:rPr>
                <w:rFonts w:ascii="Courier New" w:cs="Courier New" w:eastAsia="Courier New" w:hAnsi="Courier New"/>
                <w:color w:val="1B3A6B"/>
                <w:sz w:val="20"/>
                <w:szCs w:val="20"/>
              </w:rPr>
              <w:t xml:space="preserve">SELECT p.patient_id, p.risk_tier, cc.*</w:t>
            </w:r>
          </w:p>
          <w:p>
            <w:pPr>
              <w:spacing w:after="0" w:before="0"/>
            </w:pPr>
            <w:r>
              <w:rPr>
                <w:rFonts w:ascii="Courier New" w:cs="Courier New" w:eastAsia="Courier New" w:hAnsi="Courier New"/>
                <w:color w:val="1B3A6B"/>
                <w:sz w:val="20"/>
                <w:szCs w:val="20"/>
              </w:rPr>
              <w:t xml:space="preserve">FROM patients p</w:t>
            </w:r>
          </w:p>
          <w:p>
            <w:pPr>
              <w:spacing w:after="0" w:before="0"/>
            </w:pPr>
            <w:r>
              <w:rPr>
                <w:rFonts w:ascii="Courier New" w:cs="Courier New" w:eastAsia="Courier New" w:hAnsi="Courier New"/>
                <w:color w:val="1B3A6B"/>
                <w:sz w:val="20"/>
                <w:szCs w:val="20"/>
              </w:rPr>
              <w:t xml:space="preserve">JOIN clinical_context cc USING (patient_id)</w:t>
            </w:r>
          </w:p>
          <w:p>
            <w:pPr>
              <w:spacing w:after="0" w:before="0"/>
            </w:pPr>
            <w:r>
              <w:rPr>
                <w:rFonts w:ascii="Courier New" w:cs="Courier New" w:eastAsia="Courier New" w:hAnsi="Courier New"/>
                <w:color w:val="1B3A6B"/>
                <w:sz w:val="20"/>
                <w:szCs w:val="20"/>
              </w:rPr>
              <w:t xml:space="preserve">WHERE p.next_appointment::DATE = CURRENT_DATE</w:t>
            </w:r>
          </w:p>
          <w:p>
            <w:pPr>
              <w:spacing w:after="0" w:before="0"/>
            </w:pPr>
            <w:r>
              <w:rPr>
                <w:rFonts w:ascii="Courier New" w:cs="Courier New" w:eastAsia="Courier New" w:hAnsi="Courier New"/>
                <w:color w:val="1B3A6B"/>
                <w:sz w:val="20"/>
                <w:szCs w:val="20"/>
              </w:rPr>
              <w:t xml:space="preserve">  AND NOT EXISTS (</w:t>
            </w:r>
          </w:p>
          <w:p>
            <w:pPr>
              <w:spacing w:after="0" w:before="0"/>
            </w:pPr>
            <w:r>
              <w:rPr>
                <w:rFonts w:ascii="Courier New" w:cs="Courier New" w:eastAsia="Courier New" w:hAnsi="Courier New"/>
                <w:color w:val="1B3A6B"/>
                <w:sz w:val="20"/>
                <w:szCs w:val="20"/>
              </w:rPr>
              <w:t xml:space="preserve">    SELECT 1 FROM briefings b</w:t>
            </w:r>
          </w:p>
          <w:p>
            <w:pPr>
              <w:spacing w:after="0" w:before="0"/>
            </w:pPr>
            <w:r>
              <w:rPr>
                <w:rFonts w:ascii="Courier New" w:cs="Courier New" w:eastAsia="Courier New" w:hAnsi="Courier New"/>
                <w:color w:val="1B3A6B"/>
                <w:sz w:val="20"/>
                <w:szCs w:val="20"/>
              </w:rPr>
              <w:t xml:space="preserve">    WHERE b.patient_id = p.patient_id</w:t>
            </w:r>
          </w:p>
          <w:p>
            <w:pPr>
              <w:spacing w:after="0" w:before="0"/>
            </w:pPr>
            <w:r>
              <w:rPr>
                <w:rFonts w:ascii="Courier New" w:cs="Courier New" w:eastAsia="Courier New" w:hAnsi="Courier New"/>
                <w:color w:val="1B3A6B"/>
                <w:sz w:val="20"/>
                <w:szCs w:val="20"/>
              </w:rPr>
              <w:t xml:space="preserve">      AND b.appointment_date = CURRENT_DATE</w:t>
            </w:r>
          </w:p>
          <w:p>
            <w:pPr>
              <w:spacing w:after="0" w:before="0"/>
            </w:pPr>
            <w:r>
              <w:rPr>
                <w:rFonts w:ascii="Courier New" w:cs="Courier New" w:eastAsia="Courier New" w:hAnsi="Courier New"/>
                <w:color w:val="1B3A6B"/>
                <w:sz w:val="20"/>
                <w:szCs w:val="20"/>
              </w:rPr>
              <w:t xml:space="preserve">  );</w:t>
            </w:r>
          </w:p>
        </w:tc>
      </w:tr>
    </w:tbl>
    <w:p>
      <w:pPr>
        <w:spacing w:after="0" w:before="60"/>
      </w:pPr>
      <w:r>
        <w:rPr>
          <w:rFonts w:ascii="Arial" w:cs="Arial" w:eastAsia="Arial" w:hAnsi="Arial"/>
          <w:color w:val="111827"/>
          <w:sz w:val="22"/>
          <w:szCs w:val="22"/>
        </w:rPr>
        <w:t xml:space="preserve"/>
      </w:r>
    </w:p>
    <w:p>
      <w:pPr>
        <w:pStyle w:val="Heading2"/>
        <w:spacing w:after="120" w:before="320"/>
      </w:pPr>
      <w:r>
        <w:t>Returns the adherence rate for each medication for a patient over the past 28 days. Adherence rate = confirmed doses divided by scheduled doses. Used in the briefing and to surface possible adherence concern patterns.</w:t>
      </w:r>
    </w:p>
    <w:p>
      <w:pPr>
        <w:spacing w:after="120" w:before="80"/>
      </w:pPr>
      <w:r>
        <w:rPr>
          <w:rFonts w:ascii="Arial" w:cs="Arial" w:eastAsia="Arial" w:hAnsi="Arial"/>
          <w:color w:val="111827"/>
          <w:sz w:val="22"/>
          <w:szCs w:val="22"/>
        </w:rPr>
        <w:t xml:space="preserve">Returns the adherence rate for each medication for a patient over the past 28 days. Adherence rate = confirmed doses divided by scheduled doses. Used in the briefing and to detect non-adherence patterns.</w:t>
      </w:r>
    </w:p>
    <w:p>
      <w:pPr>
        <w:spacing w:after="0" w:before="60"/>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4F8" w:val="clear"/>
            <w:tcMar>
              <w:top w:type="dxa" w:w="120"/>
              <w:left w:type="dxa" w:w="200"/>
              <w:bottom w:type="dxa" w:w="120"/>
              <w:right w:type="dxa" w:w="120"/>
            </w:tcMar>
          </w:tcPr>
          <w:p>
            <w:pPr>
              <w:spacing w:after="0" w:before="0"/>
            </w:pPr>
            <w:r>
              <w:rPr>
                <w:rFonts w:ascii="Courier New" w:cs="Courier New" w:eastAsia="Courier New" w:hAnsi="Courier New"/>
                <w:color w:val="1B3A6B"/>
                <w:sz w:val="20"/>
                <w:szCs w:val="20"/>
              </w:rPr>
              <w:t xml:space="preserve">SELECT</w:t>
            </w:r>
          </w:p>
          <w:p>
            <w:pPr>
              <w:spacing w:after="0" w:before="0"/>
            </w:pPr>
            <w:r>
              <w:rPr>
                <w:rFonts w:ascii="Courier New" w:cs="Courier New" w:eastAsia="Courier New" w:hAnsi="Courier New"/>
                <w:color w:val="1B3A6B"/>
                <w:sz w:val="20"/>
                <w:szCs w:val="20"/>
              </w:rPr>
              <w:t xml:space="preserve">  medication_name,</w:t>
            </w:r>
          </w:p>
          <w:p>
            <w:pPr>
              <w:spacing w:after="0" w:before="0"/>
            </w:pPr>
            <w:r>
              <w:rPr>
                <w:rFonts w:ascii="Courier New" w:cs="Courier New" w:eastAsia="Courier New" w:hAnsi="Courier New"/>
                <w:color w:val="1B3A6B"/>
                <w:sz w:val="20"/>
                <w:szCs w:val="20"/>
              </w:rPr>
              <w:t xml:space="preserve">  COUNT(*) AS scheduled_doses,</w:t>
            </w:r>
          </w:p>
          <w:p>
            <w:pPr>
              <w:spacing w:after="0" w:before="0"/>
            </w:pPr>
            <w:r>
              <w:rPr>
                <w:rFonts w:ascii="Courier New" w:cs="Courier New" w:eastAsia="Courier New" w:hAnsi="Courier New"/>
                <w:color w:val="1B3A6B"/>
                <w:sz w:val="20"/>
                <w:szCs w:val="20"/>
              </w:rPr>
              <w:t xml:space="preserve">  COUNT(confirmed_at) AS confirmed_doses,</w:t>
            </w:r>
          </w:p>
          <w:p>
            <w:pPr>
              <w:spacing w:after="0" w:before="0"/>
            </w:pPr>
            <w:r>
              <w:rPr>
                <w:rFonts w:ascii="Courier New" w:cs="Courier New" w:eastAsia="Courier New" w:hAnsi="Courier New"/>
                <w:color w:val="1B3A6B"/>
                <w:sz w:val="20"/>
                <w:szCs w:val="20"/>
              </w:rPr>
              <w:t xml:space="preserve">  ROUND(</w:t>
            </w:r>
          </w:p>
          <w:p>
            <w:pPr>
              <w:spacing w:after="0" w:before="0"/>
            </w:pPr>
            <w:r>
              <w:rPr>
                <w:rFonts w:ascii="Courier New" w:cs="Courier New" w:eastAsia="Courier New" w:hAnsi="Courier New"/>
                <w:color w:val="1B3A6B"/>
                <w:sz w:val="20"/>
                <w:szCs w:val="20"/>
              </w:rPr>
              <w:t xml:space="preserve">    COUNT(confirmed_at)::NUMERIC / NULLIF(COUNT(*), 0) * 100,</w:t>
            </w:r>
          </w:p>
          <w:p>
            <w:pPr>
              <w:spacing w:after="0" w:before="0"/>
            </w:pPr>
            <w:r>
              <w:rPr>
                <w:rFonts w:ascii="Courier New" w:cs="Courier New" w:eastAsia="Courier New" w:hAnsi="Courier New"/>
                <w:color w:val="1B3A6B"/>
                <w:sz w:val="20"/>
                <w:szCs w:val="20"/>
              </w:rPr>
              <w:t xml:space="preserve">    1</w:t>
            </w:r>
          </w:p>
          <w:p>
            <w:pPr>
              <w:spacing w:after="0" w:before="0"/>
            </w:pPr>
            <w:r>
              <w:rPr>
                <w:rFonts w:ascii="Courier New" w:cs="Courier New" w:eastAsia="Courier New" w:hAnsi="Courier New"/>
                <w:color w:val="1B3A6B"/>
                <w:sz w:val="20"/>
                <w:szCs w:val="20"/>
              </w:rPr>
              <w:t xml:space="preserve">  ) AS adherence_pct,</w:t>
            </w:r>
          </w:p>
          <w:p>
            <w:pPr>
              <w:spacing w:after="0" w:before="0"/>
            </w:pPr>
            <w:r>
              <w:rPr>
                <w:rFonts w:ascii="Courier New" w:cs="Courier New" w:eastAsia="Courier New" w:hAnsi="Courier New"/>
                <w:color w:val="1B3A6B"/>
                <w:sz w:val="20"/>
                <w:szCs w:val="20"/>
              </w:rPr>
              <w:t xml:space="preserve">  MAX(confirmation_type) AS best_confirmation_type</w:t>
            </w:r>
          </w:p>
          <w:p>
            <w:pPr>
              <w:spacing w:after="0" w:before="0"/>
            </w:pPr>
            <w:r>
              <w:rPr>
                <w:rFonts w:ascii="Courier New" w:cs="Courier New" w:eastAsia="Courier New" w:hAnsi="Courier New"/>
                <w:color w:val="1B3A6B"/>
                <w:sz w:val="20"/>
                <w:szCs w:val="20"/>
              </w:rPr>
              <w:t xml:space="preserve">FROM medication_confirmations</w:t>
            </w:r>
          </w:p>
          <w:p>
            <w:pPr>
              <w:spacing w:after="0" w:before="0"/>
            </w:pPr>
            <w:r>
              <w:rPr>
                <w:rFonts w:ascii="Courier New" w:cs="Courier New" w:eastAsia="Courier New" w:hAnsi="Courier New"/>
                <w:color w:val="1B3A6B"/>
                <w:sz w:val="20"/>
                <w:szCs w:val="20"/>
              </w:rPr>
              <w:t xml:space="preserve">WHERE patient_id = $1</w:t>
            </w:r>
          </w:p>
          <w:p>
            <w:pPr>
              <w:spacing w:after="0" w:before="0"/>
            </w:pPr>
            <w:r>
              <w:rPr>
                <w:rFonts w:ascii="Courier New" w:cs="Courier New" w:eastAsia="Courier New" w:hAnsi="Courier New"/>
                <w:color w:val="1B3A6B"/>
                <w:sz w:val="20"/>
                <w:szCs w:val="20"/>
              </w:rPr>
              <w:t xml:space="preserve">  AND scheduled_time &gt;= NOW() - INTERVAL '28 days'</w:t>
            </w:r>
          </w:p>
          <w:p>
            <w:pPr>
              <w:spacing w:after="0" w:before="0"/>
            </w:pPr>
            <w:r>
              <w:rPr>
                <w:rFonts w:ascii="Courier New" w:cs="Courier New" w:eastAsia="Courier New" w:hAnsi="Courier New"/>
                <w:color w:val="1B3A6B"/>
                <w:sz w:val="20"/>
                <w:szCs w:val="20"/>
              </w:rPr>
              <w:t xml:space="preserve">GROUP BY medication_name</w:t>
            </w:r>
          </w:p>
          <w:p>
            <w:pPr>
              <w:spacing w:after="0" w:before="0"/>
            </w:pPr>
            <w:r>
              <w:rPr>
                <w:rFonts w:ascii="Courier New" w:cs="Courier New" w:eastAsia="Courier New" w:hAnsi="Courier New"/>
                <w:color w:val="1B3A6B"/>
                <w:sz w:val="20"/>
                <w:szCs w:val="20"/>
              </w:rPr>
              <w:t xml:space="preserve">ORDER BY adherence_pct ASC;</w:t>
            </w:r>
          </w:p>
          <w:p>
            <w:pPr>
              <w:spacing w:after="0" w:before="0"/>
            </w:pPr>
            <w:r>
              <w:rPr>
                <w:rFonts w:ascii="Courier New" w:cs="Courier New" w:eastAsia="Courier New" w:hAnsi="Courier New"/>
                <w:color w:val="1B3A6B"/>
                <w:sz w:val="20"/>
                <w:szCs w:val="20"/>
              </w:rPr>
              <w:t xml:space="preserve"/>
            </w:r>
          </w:p>
          <w:p>
            <w:pPr>
              <w:spacing w:after="0" w:before="0"/>
            </w:pPr>
            <w:r>
              <w:rPr>
                <w:rFonts w:ascii="Courier New" w:cs="Courier New" w:eastAsia="Courier New" w:hAnsi="Courier New"/>
                <w:color w:val="1B3A6B"/>
                <w:sz w:val="20"/>
                <w:szCs w:val="20"/>
              </w:rPr>
              <w:t xml:space="preserve">-- adherence_pct &lt; 80 is the standard clinical threshold</w:t>
            </w:r>
          </w:p>
          <w:p>
            <w:pPr>
              <w:spacing w:after="0" w:before="0"/>
            </w:pPr>
            <w:r>
              <w:rPr>
                <w:rFonts w:ascii="Courier New" w:cs="Courier New" w:eastAsia="Courier New" w:hAnsi="Courier New"/>
                <w:color w:val="1B3A6B"/>
                <w:sz w:val="20"/>
                <w:szCs w:val="20"/>
              </w:rPr>
              <w:t xml:space="preserve">-- for flagging non-adherence in hypertension management</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7.6 Adherence-BP correlation — does BP track with adherence?</w:t>
      </w:r>
    </w:p>
    <w:p>
      <w:pPr>
        <w:spacing w:after="120" w:before="80"/>
      </w:pPr>
      <w:r>
        <w:t>Joins readings and medication_confirmations on the same day to determine whether elevated BP days correlate with missed doses or weaker adherence signals. In the MVP this is used as contextual evidence only: elevated BP plus low adherence signal suggests a possible adherence concern, while elevated BP plus high adherence signal suggests a possible treatment review.</w:t>
      </w:r>
    </w:p>
    <w:p>
      <w:pPr>
        <w:spacing w:after="0" w:before="60"/>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4F8" w:val="clear"/>
            <w:tcMar>
              <w:top w:type="dxa" w:w="120"/>
              <w:left w:type="dxa" w:w="200"/>
              <w:bottom w:type="dxa" w:w="120"/>
              <w:right w:type="dxa" w:w="120"/>
            </w:tcMar>
          </w:tcPr>
          <w:p>
            <w:r>
              <w:t>SELECT</w:t>
              <w:br/>
              <w:t xml:space="preserve">  r.effective_datetime::DATE AS reading_date,</w:t>
              <w:br/>
              <w:t xml:space="preserve">  r.systolic_avg,</w:t>
              <w:br/>
              <w:t xml:space="preserve">  r.medication_taken AS self_report,</w:t>
              <w:br/>
              <w:t xml:space="preserve">  COUNT(mc.confirmation_id) AS doses_scheduled,</w:t>
              <w:br/>
              <w:t xml:space="preserve">  COUNT(mc.confirmed_at)    AS doses_confirmed,</w:t>
              <w:br/>
              <w:t xml:space="preserve">  ROUND(</w:t>
              <w:br/>
              <w:t xml:space="preserve">    COUNT(mc.confirmed_at)::NUMERIC /</w:t>
              <w:br/>
              <w:t xml:space="preserve">    NULLIF(COUNT(mc.confirmation_id), 0) * 100, 1</w:t>
              <w:br/>
              <w:t xml:space="preserve">  ) AS daily_adherence_pct</w:t>
              <w:br/>
              <w:t>FROM readings r</w:t>
              <w:br/>
              <w:t>LEFT JOIN medication_confirmations mc</w:t>
              <w:br/>
              <w:t xml:space="preserve">  ON mc.patient_id = r.patient_id</w:t>
              <w:br/>
              <w:t xml:space="preserve">  AND mc.scheduled_time::DATE = r.effective_datetime::DATE</w:t>
              <w:br/>
              <w:t>WHERE r.patient_id = $1</w:t>
              <w:br/>
              <w:t xml:space="preserve">  AND r.effective_datetime &gt;= NOW() - INTERVAL '28 days'</w:t>
              <w:br/>
              <w:t>GROUP BY r.reading_id, r.effective_datetime, r.systolic_avg,</w:t>
              <w:br/>
              <w:t xml:space="preserve">         r.medication_taken</w:t>
              <w:br/>
              <w:t>ORDER BY r.effective_datetime ASC;</w:t>
              <w:br/>
              <w:br/>
              <w:t>-- Pattern A: high systolic + low adherence_pct = possible adherence concern</w:t>
              <w:br/>
              <w:t>-- Pattern B: high systolic + high adherence_pct = possible treatment-review case</w:t>
              <w:br/>
              <w:t>-- Pattern C: normal systolic + low adherence_pct = contextual review, not proof</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8. FHIR R4 Output — Home Reading Mapping</w:t>
      </w:r>
    </w:p>
    <w:p>
      <w:pPr>
        <w:spacing w:after="120" w:before="80"/>
      </w:pPr>
      <w:r>
        <w:t>CuffLink readings are served as FHIR R4 Observation resources. The FHIR JSON is produced by the application layer from the readings table row on demand. It is not stored in the database. This is a minimal Observation export for the MVP, not a full SMART on FHIR launch package, CapabilityStatement, or write-back integration claim.</w:t>
      </w:r>
    </w:p>
    <w:p>
      <w:pPr>
        <w:spacing w:after="0" w:before="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FHIR field</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 / source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resourceType</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"Observation"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readings.reading_id (UUID)</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"final"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category[0].coding[0].code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"vital-signs" — LOINC system</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code.coding[0].code</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"55284-4" — Blood pressure panel (LOINC)</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subject.reference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"Patient/" + patient_id</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effectiveDateTime</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readings.effective_datetime as ISO 8601 with timezone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component[0].code.coding[0].code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"8480-6" — Systolic blood pressure (LOINC)</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component[0].valueQuantity</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value: systolic_avg, unit: "mmHg", system: UCUM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component[1].code.coding[0].code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"8462-4" — Diastolic blood pressure (LOINC)</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component[1].valueQuantity</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value: diastolic_avg, unit: "mmHg", system: UCUM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component[2].code.coding[0].code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"8867-4" — Heart rate (LOINC). Omit if heart_rate_avg is NULL</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method.coding[0].code</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SNOMED 33586001 (seated) from bp_position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bodySite.coding[0].code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SNOMED 368209003 (left arm) from bp_site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extension[0] — source</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URL: aria.lof.health/fhir/ext/source. Value: readings.source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extension[1] — session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URL: aria.lof.health/fhir/ext/session. Value: readings.session</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9. System Architecture</w:t>
      </w:r>
    </w:p>
    <w:p>
      <w:pPr>
        <w:pStyle w:val="Heading2"/>
        <w:spacing w:after="120" w:before="320"/>
      </w:pPr>
      <w:r>
        <w:rPr>
          <w:rFonts w:ascii="Arial" w:cs="Arial" w:eastAsia="Arial" w:hAnsi="Arial"/>
          <w:b/>
          <w:bCs/>
          <w:color w:val="2C5F9E"/>
          <w:sz w:val="28"/>
          <w:szCs w:val="28"/>
        </w:rPr>
        <w:t xml:space="preserve">9.1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t>Component</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t>Technology and role</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t>Output</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EHR adapter</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Python script per source type. The iEMR adapter converts 1091_data.json to a FHIR Bundle. Future vendor adapters may call live FHIR APIs or consume export packages. Only source-specific code lives here.</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Produces a standard FHIR Bundle for ingestion.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FHIR ingestion function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Python / FastAPI. Validates required resources, records an ingest job, populates patients + clinical_context + related tables, and emits audit events. Idempotent — safe to re-run.</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One ingestion path handles any supported source export.</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Processing job worker</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Python background worker. Consumes processing_jobs entries for pattern recompute, briefing generation, summary generation, and bundle import retries. Keeps heavy work out of the request path.</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Retryable asynchronous execution.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FHIR / synthetic reading generator</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Python. Reads clinical_context.historic_bp_systolic to compute a real baseline mean and SD. Generates 28-day reading series per Section 5 rules. Inserts to readings table in the demo environment only.</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source = 'generated'. Anchored on real data.</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Pattern engine</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Python. Runs SQL logic from Section 7 inside the background worker. Writes alerts and briefing inputs. It is not executed synchronously on API insert.</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Gap, treatment-review, adherence-context, and deterioration signals.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Structured briefing composer + optional summary layer</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Python. Pulls clinical_context + 28-day readings + active alerts. Builds a deterministic structured briefing payload first. An optional readable summary can be generated afterwards and must log model/version/prompt metadata.</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Structured JSON output — not freeform text.</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Auth + RBAC layer</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Managed authentication plus application-level role checks. MVP supports clinician/admin access only. Every dashboard read and write path records an audit event.</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Named user context for every sensitive 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Clinician dashboard</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React. Reads briefings payload and renders the pre-visit briefing. Shows 28-day reading sparkline, alert inbox, and patient list. The dashboard is the primary PHI-rich UI.</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The primary clinician-facing interface.</w:t>
            </w:r>
          </w:p>
        </w:tc>
      </w:tr>
      <w:tr>
        <w:tc>
          <w:tcPr>
            <w:tcW w:type="dxa" w:w="2200"/>
          </w:tcPr>
          <w:p>
            <w:r>
              <w:t>7:30 AM scheduler</w:t>
            </w:r>
          </w:p>
        </w:tc>
        <w:tc>
          <w:tcPr>
            <w:tcW w:type="dxa" w:w="3080"/>
          </w:tcPr>
          <w:p>
            <w:r>
              <w:t>Cron job or scheduled worker trigger. Finds appointment-day patients and enqueues briefing-generation jobs; it does not perform heavy briefing work inline.</w:t>
            </w:r>
          </w:p>
        </w:tc>
        <w:tc>
          <w:tcPr>
            <w:tcW w:type="dxa" w:w="4080"/>
          </w:tcPr>
          <w:p>
            <w:r>
              <w:t>Queue of dashboard-ready briefing jobs plus optional notification email.</w:t>
            </w:r>
          </w:p>
        </w:tc>
      </w:tr>
      <w:tr>
        <w:tc>
          <w:tcPr>
            <w:tcW w:type="dxa" w:w="2200"/>
          </w:tcPr>
          <w:p>
            <w:r>
              <w:t>CuffLink web/app</w:t>
            </w:r>
          </w:p>
        </w:tc>
        <w:tc>
          <w:tcPr>
            <w:tcW w:type="dxa" w:w="3080"/>
          </w:tcPr>
          <w:p>
            <w:r>
              <w:t>React + React Native. Manual entry web form and future BLE cuff pairing. Posts to ingestion API in live use. The current MVP demonstrates the same API and schema using generated readings.</w:t>
            </w:r>
          </w:p>
        </w:tc>
        <w:tc>
          <w:tcPr>
            <w:tcW w:type="dxa" w:w="4080"/>
          </w:tcPr>
          <w:p>
            <w:r>
              <w:t>Patient-facing submission surface. No clinical recommendation shown to patient.</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9.2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t>Component</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t>Detail</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Backend</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Python / FastAPI — APIs for bundle ingestion, reading ingestion, patient enrolment, briefing retrieval, audit event creation, and minimal FHIR Observation output.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Database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PostgreSQL — eight core tables in the MVP runtime. Single instance is acceptable for the demo and first pilot; heavy jobs are moved to processing_jobs + worker.</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Background processing</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Python worker consuming processing_jobs. Simple table-backed queue in MVP; external queue can replace it later without changing the clinical logic.</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Authentication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Managed OIDC-compatible auth with clinician/admin roles enforced in the application. Demo users are named accounts; no shared credentials.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LLM</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Anthropic claude-sonnet-4-20250514 via Anthropic API. Used only as an optional readable-summary layer on top of the deterministic briefing payload. Prompt template, model version, and output metadata must be logged.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CuffLink mobile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React Native — future BLE cuff pairing and manual entry fallback. Not required for the current generated-data demo.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CuffLink web form</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React — browser-based manual entry fallback for future live use. The current MVP uses a synthetic reading stream routed through the same schema and APIs.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Clinician dashboard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React — briefing viewer, sparkline, alert inbox, patient list with tier indicator, and audit-aware user session context.</w:t>
            </w:r>
          </w:p>
        </w:tc>
      </w:tr>
      <w:tr>
        <w:tc>
          <w:tcPr>
            <w:tcW w:type="dxa" w:w="3000"/>
          </w:tcPr>
          <w:p>
            <w:r>
              <w:t>Email delivery</w:t>
            </w:r>
          </w:p>
        </w:tc>
        <w:tc>
          <w:tcPr>
            <w:tcW w:type="dxa" w:w="6360"/>
          </w:tcPr>
          <w:p>
            <w:r>
              <w:t>SendGrid — optional low-PHI notification email that tells the clinician a dashboard briefing is ready. No identifiers or clinical values in email body or subject.</w:t>
            </w:r>
          </w:p>
        </w:tc>
      </w:tr>
      <w:tr>
        <w:tc>
          <w:tcPr>
            <w:tcW w:type="dxa" w:w="3000"/>
          </w:tcPr>
          <w:p>
            <w:r>
              <w:t>Secrets / config</w:t>
            </w:r>
          </w:p>
        </w:tc>
        <w:tc>
          <w:tcPr>
            <w:tcW w:type="dxa" w:w="6360"/>
          </w:tcPr>
          <w:p>
            <w:r>
              <w:t>Environment variables managed by the deployment platform. Separate demo and future PHI environments; no secrets committed to source control.</w:t>
            </w:r>
          </w:p>
        </w:tc>
      </w:tr>
      <w:tr>
        <w:tc>
          <w:tcPr>
            <w:tcW w:type="dxa" w:w="3000"/>
          </w:tcPr>
          <w:p>
            <w:r>
              <w:t>Hosting (demo)</w:t>
            </w:r>
          </w:p>
        </w:tc>
        <w:tc>
          <w:tcPr>
            <w:tcW w:type="dxa" w:w="6360"/>
          </w:tcPr>
          <w:p>
            <w:r>
              <w:t>Managed container hosting suitable for a classroom/demo timeline. The team makes no claim that the late-April environment is production-ready for live PHI.</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9.3 Scalability path</w:t>
      </w:r>
    </w:p>
    <w:p>
      <w:pPr>
        <w:spacing w:after="120" w:before="80"/>
      </w:pPr>
      <w:r>
        <w:rPr>
          <w:rFonts w:ascii="Arial" w:cs="Arial" w:eastAsia="Arial" w:hAnsi="Arial"/>
          <w:color w:val="111827"/>
          <w:sz w:val="22"/>
          <w:szCs w:val="22"/>
        </w:rPr>
        <w:t xml:space="preserve">The five-table schema is correct for the MVP and for the first pilot up to approximately 500 patients. The following changes apply at scale, in order of priority.</w:t>
      </w:r>
    </w:p>
    <w:p>
      <w:pPr>
        <w:spacing w:after="0" w:before="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t>Change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t>When and why</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clinical_context → normalised tables</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After the MVP, if multiple systems need to query medications by drug class or problems by ICD-10 chapter, the array model limits query flexibility. Split into patient_medications and patient_problems tables.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Table-backed worker → external queue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At multi-practice scale or when retries/throughput become material, replace the processing_jobs table consumer with a dedicated queue/worker platform. Clinical rules and briefing payload logic remain unchanged.</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Read replica for analytics and pattern review</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When clinician traffic and background reads begin competing materially on the same PostgreSQL instance. Write path stays on primary.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Tenant isolation and stricter access policy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Before ARIA serves multiple practices or organizations. Add tenant keys, tenant-aware audit review, and stronger organization scoping throughout the API.</w:t>
            </w:r>
          </w:p>
        </w:tc>
      </w:tr>
      <w:tr>
        <w:tc>
          <w:tcPr>
            <w:tcW w:type="dxa" w:w="3000"/>
          </w:tcPr>
          <w:p>
            <w:r>
              <w:t>Partitioned readings table</w:t>
            </w:r>
          </w:p>
        </w:tc>
        <w:tc>
          <w:tcPr>
            <w:tcW w:type="dxa" w:w="6360"/>
          </w:tcPr>
          <w:p>
            <w:r>
              <w:t>Above approximately 10 million rows, partition by patient_id hash or time. The composite index on (patient_id, effective_datetime) remains the primary access pattern throughout.</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10. Four-Week Build Plan</w:t>
      </w:r>
    </w:p>
    <w:p>
      <w:pPr>
        <w:pStyle w:val="Heading2"/>
        <w:spacing w:after="120" w:before="320"/>
      </w:pPr>
      <w:r>
        <w:rPr>
          <w:rFonts w:ascii="Arial" w:cs="Arial" w:eastAsia="Arial" w:hAnsi="Arial"/>
          <w:b/>
          <w:bCs/>
          <w:color w:val="2C5F9E"/>
          <w:sz w:val="28"/>
          <w:szCs w:val="28"/>
        </w:rPr>
        <w:t xml:space="preserve">10.1 Scope — build vs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t>Feature</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t>Decision</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t>Reason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FHIR R4 ingestion from iEMR adapter</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Core interoperability path. Everything downstream depends on 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Eight-table PostgreSQL schema + indexes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Core runtime tables must exist before data is inserted or jobs are queued.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processing_jobs table + background worker</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Required to keep heavy recomputation out of the HTTP request path.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audit_events table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Minimum credible audit trail for a clinician-facing system.</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Basic auth + RBAC</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Named accounts and role checks are required even in the MVP. No shared logins.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Environment separation + secrets management</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Generated demo data and any future PHI environment must never share credentials or deployment configuration.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CHF/stroke auto-override</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Two source-data checks. Safety non-negotiable.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FHIR reading generator (28-day, anchored on real data)</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Patient A scenario data. Must follow Section 5 rules exactly.</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Enrolment form with tier dropdown</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1</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Replaces the scoring model for MVP. One field, clear workflow.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Gap detection engine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2</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Core clinical signal. Runs asynchronously through the worker.</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Therapeutic inertia detection</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2</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iEMR medication history + reading series. Patient A key finding.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medication_confirmations table + schedule generation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2</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Must exist before synthetic confirmation events are generated.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Synthetic medication confirmation generator</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2</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Creates production-shaped confirmation events from the medication schedule so adherence queries and briefing logic can be tested end-to-end.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Adherence-BP correlation query (7.6)</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2</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Run against synthetic confirmation data for the MVP demo.</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Shadow mode validation (80% target + false-negative review)</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2</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Minimum internal gate before demo sign-off.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Structured briefing composer + optional readable summary</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3</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Deterministic JSON payload first. Optional summary added only after the base briefing is correct and logged.</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Clinician dashboard</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3</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Primary PHI-rich briefing UI.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7:30 AM briefing enqueue + optional low-PHI email</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3</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Scheduler enqueues jobs; dashboard remains primary.</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Agent-assisted test generation + PR checklists</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3</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Coding agents accelerate delivery, but every merge must show human review of clinical logic, SQL, and security-sensitive code.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End-to-end demo (3 patients)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4</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Clinical sign-off on synthetic home BP and synthetic medication-confirmation data. 12-minute timing.</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CuffLink BLE cuff pairing</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Roadmap</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Live capture path after the MVP. Generated readings are sufficient for the current demo.</w:t>
            </w:r>
          </w:p>
        </w:tc>
      </w:tr>
      <w:tr>
        <w:tc>
          <w:tcPr>
            <w:tcW w:type="dxa" w:w="2200"/>
          </w:tcPr>
          <w:p>
            <w:r>
              <w:t>Timed push notification + tap confirmation</w:t>
            </w:r>
          </w:p>
        </w:tc>
        <w:tc>
          <w:tcPr>
            <w:tcW w:type="dxa" w:w="3080"/>
          </w:tcPr>
          <w:p>
            <w:r>
              <w:t>Roadmap</w:t>
            </w:r>
          </w:p>
        </w:tc>
        <w:tc>
          <w:tcPr>
            <w:tcW w:type="dxa" w:w="4080"/>
          </w:tcPr>
          <w:p>
            <w:r>
              <w:t>Future real-world confirmation path once live patient capture is in scope.</w:t>
            </w:r>
          </w:p>
        </w:tc>
      </w:tr>
      <w:tr>
        <w:tc>
          <w:tcPr>
            <w:tcW w:type="dxa" w:w="2200"/>
          </w:tcPr>
          <w:p>
            <w:r>
              <w:t>Optional photo confirmation</w:t>
            </w:r>
          </w:p>
        </w:tc>
        <w:tc>
          <w:tcPr>
            <w:tcW w:type="dxa" w:w="3080"/>
          </w:tcPr>
          <w:p>
            <w:r>
              <w:t>Roadmap</w:t>
            </w:r>
          </w:p>
        </w:tc>
        <w:tc>
          <w:tcPr>
            <w:tcW w:type="dxa" w:w="4080"/>
          </w:tcPr>
          <w:p>
            <w:r>
              <w:t>Higher-confidence future path. Not needed for the MVP.</w:t>
            </w:r>
          </w:p>
        </w:tc>
      </w:tr>
      <w:tr>
        <w:tc>
          <w:tcPr>
            <w:tcW w:type="dxa" w:w="2200"/>
          </w:tcPr>
          <w:p>
            <w:r>
              <w:t>SMS pathway</w:t>
            </w:r>
          </w:p>
        </w:tc>
        <w:tc>
          <w:tcPr>
            <w:tcW w:type="dxa" w:w="3080"/>
          </w:tcPr>
          <w:p>
            <w:r>
              <w:t>Roadmap</w:t>
            </w:r>
          </w:p>
        </w:tc>
        <w:tc>
          <w:tcPr>
            <w:tcW w:type="dxa" w:w="4080"/>
          </w:tcPr>
          <w:p>
            <w:r>
              <w:t>Intentionally deferred to keep the MVP secure and focused.</w:t>
            </w:r>
          </w:p>
        </w:tc>
      </w:tr>
      <w:tr>
        <w:tc>
          <w:tcPr>
            <w:tcW w:type="dxa" w:w="2200"/>
          </w:tcPr>
          <w:p>
            <w:r>
              <w:t>Live SMART on FHIR connection to real EHR</w:t>
            </w:r>
          </w:p>
        </w:tc>
        <w:tc>
          <w:tcPr>
            <w:tcW w:type="dxa" w:w="3080"/>
          </w:tcPr>
          <w:p>
            <w:r>
              <w:t>Roadmap</w:t>
            </w:r>
          </w:p>
        </w:tc>
        <w:tc>
          <w:tcPr>
            <w:tcW w:type="dxa" w:w="4080"/>
          </w:tcPr>
          <w:p>
            <w:r>
              <w:t>Requires vendor registration, OAuth scopes, workflow testing, and security review. Bundle import is sufficient for MVP and pilot.</w:t>
            </w:r>
          </w:p>
        </w:tc>
      </w:tr>
      <w:tr>
        <w:tc>
          <w:tcPr>
            <w:tcW w:type="dxa" w:w="2200"/>
          </w:tcPr>
          <w:p>
            <w:r>
              <w:t>Enterprise compliance hardening for live PHI</w:t>
            </w:r>
          </w:p>
        </w:tc>
        <w:tc>
          <w:tcPr>
            <w:tcW w:type="dxa" w:w="3080"/>
          </w:tcPr>
          <w:p>
            <w:r>
              <w:t>Roadmap</w:t>
            </w:r>
          </w:p>
        </w:tc>
        <w:tc>
          <w:tcPr>
            <w:tcW w:type="dxa" w:w="4080"/>
          </w:tcPr>
          <w:p>
            <w:r>
              <w:t>Post-MVP workstream covering healthcare-grade hosting, BAAs, incident response, backup/restore, and fuller access governance.</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10.2 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t>Week</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t>Deliverables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Week 1</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Architecture freeze. iEMR-to-FHIR adapter. FHIR ingestion function. Eight-table schema + indexes. processing_jobs worker scaffold. audit_events table. Basic auth/RBAC. Environment separation and secret handling. FHIR reading generator. Enrolment form. Clinical boundary document and agent-usage rules signed by all team members.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Week 2</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Gap detection engine. Therapeutic inertia detection. medication_confirmations schedule generation. Synthetic medication confirmation generator. Adherence-BP correlation query. Shadow mode validation against iEMR physician notes, including false-negative review. Patient B iEMR-only pathway. Patient C new-patient cold-start data. All three patient datasets clinically reviewed.</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Week 3</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Structured briefing composer. Optional readable-summary layer with prompt/output logging. Clinician dashboard with sparklines and briefing viewer. 7:30 AM enqueue flow and low-PHI notification email. Audit events on key dashboard actions. Agent-assisted test generation and fix cycle.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Week 4</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End-to-end demo run for all three patients. 12-minute timing target met. Shadow mode results documented. Security and architecture boundary slide built from deferred features. Final QA pass on logs, environment separation, demo scripts, and reviewer questions.</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10.3 Team roles (6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t>Role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t>Responsibilities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Architecture / data lead (1)</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Owns schema, FHIR ingestion function, iEMR adapter, index design, and architectural consistency. Authority to reject feature requests that compromise the MVP boundary.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Backend / interoperability (1)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FastAPI ingestion APIs, FHIR mapping, bundle validation, idempotent import behavior, and appointment/import plumbing.</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Backend / async processing + security baseline (1)</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processing_jobs worker, alert engine execution, audit_events, auth/RBAC integration, environment separation, and deployment secrets.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Briefing / LLM / validation (1)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Structured briefing payload design, optional summary integration, prompt/output logging, shadow mode validation, and false-negative review workflow.</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Frontend / clinician workflow (1)</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Clinician dashboard, enrolment form, alert inbox, sparklines, session handling, and audit-aware UI actions.</w:t>
            </w:r>
          </w:p>
        </w:tc>
      </w:tr>
      <w:tr>
        <w:tc>
          <w:tcPr>
            <w:tcW w:type="dxa" w:w="3000"/>
          </w:tcPr>
          <w:p>
            <w:r>
              <w:t>Clinical QA / demo / agent governance (1)</w:t>
            </w:r>
          </w:p>
        </w:tc>
        <w:tc>
          <w:tcPr>
            <w:tcW w:type="dxa" w:w="6360"/>
          </w:tcPr>
          <w:p>
            <w:r>
              <w:t>Synthetic data clinical review and sign-off, demo script/timing, reviewer prep, and enforcement of AI coding-agent review rules.</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11. Demo Specification</w:t>
      </w:r>
    </w:p>
    <w:p>
      <w:pPr>
        <w:pStyle w:val="Heading2"/>
        <w:spacing w:after="120" w:before="320"/>
      </w:pPr>
      <w:r>
        <w:rPr>
          <w:rFonts w:ascii="Arial" w:cs="Arial" w:eastAsia="Arial" w:hAnsi="Arial"/>
          <w:b/>
          <w:bCs/>
          <w:color w:val="2C5F9E"/>
          <w:sz w:val="28"/>
          <w:szCs w:val="28"/>
        </w:rPr>
        <w:t xml:space="preserve">11.1 Three patient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Patient</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Patient A — therapeutic inertia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Source: patient 1091 iEMR (real data). Age 80, hypertension, T2DM, CHF, CAD. Medications: Metoprolol, Lisinopril, Lasix. Risk tier: High (CHF override). 28 days of FHIR-generated home readings anchored on real clinic BPs 185/72 and 180/73. Inertia flagged day 8. White-coat dip days 19–21. Device outage days 16–17. Synthetic medication confirmations simulate a 91% adherence signal across all three medications. ARIA's pre-visit briefing leads with: sustained elevated BP (avg 163/101) over 21 days without medication adjustment, high adherence signal present. Clinical interpretation for the demo: likely treatment failure rather than an adherence concern. Medication review needed.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Patient B — iEMR only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Source: patient 1091 iEMR same record. monitoring_active = FALSE. No home readings generated. ARIA uses EHR data alone. Briefing surfaces: overdue lab flag (no HbA1c result in recent visit plans where PLAN_NEEDS_FOLLOWUP=YES), drug interaction flag (Voltaren NSAID in medication list alongside antihypertensives — visible in iEMR visit 27), unresolved complaint from last visit note. Demonstrates ARIA is useful without CuffLink.</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Patient C — new patient cold start</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No prior iEMR or EHR history. Intake questionnaire completed day 1. Age 58, smoker, family history of hypertension (father MI at 61, mother stroke at 68). Declares ibuprofen for back pain. QRISK3 calculated from intake: 18.4%. 10 days of morning-only CuffLink readings averaging 154/95, rising trend. One missed reading day 7. Pre-visit briefing contains: QRISK3 score, 10-day trend chart, NSAID flag, smoking flag, morning headache flag, six-item visit agenda.</w:t>
            </w:r>
          </w:p>
        </w:tc>
      </w:tr>
    </w:tbl>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11.2 What reviewers must leave understanding</w:t>
      </w:r>
    </w:p>
    <w:p>
      <w:pPr>
        <w:pStyle w:val="ListParagraph"/>
        <w:numPr>
          <w:ilvl w:val="0"/>
          <w:numId w:val="2"/>
        </w:numPr>
        <w:spacing w:after="40" w:before="40"/>
      </w:pPr>
      <w:r>
        <w:rPr>
          <w:rFonts w:ascii="Arial" w:cs="Arial" w:eastAsia="Arial" w:hAnsi="Arial"/>
          <w:color w:val="111827"/>
          <w:sz w:val="22"/>
          <w:szCs w:val="22"/>
        </w:rPr>
        <w:t xml:space="preserve">The real clinical signal in chronic disease management is between appointments, not during them.</w:t>
      </w:r>
    </w:p>
    <w:p>
      <w:pPr>
        <w:pStyle w:val="ListParagraph"/>
        <w:numPr>
          <w:ilvl w:val="0"/>
          <w:numId w:val="2"/>
        </w:numPr>
        <w:spacing w:after="40" w:before="40"/>
      </w:pPr>
      <w:r>
        <w:t>ARIA makes that signal visible without requiring perfect technology, perfect patients, or perfect compliance, and the current MVP demonstrates the pipeline transparently using generated home BP and medication-confirmation streams.</w:t>
      </w:r>
    </w:p>
    <w:p>
      <w:pPr>
        <w:pStyle w:val="ListParagraph"/>
        <w:numPr>
          <w:ilvl w:val="0"/>
          <w:numId w:val="2"/>
        </w:numPr>
        <w:spacing w:after="40" w:before="40"/>
      </w:pPr>
      <w:r>
        <w:rPr>
          <w:rFonts w:ascii="Arial" w:cs="Arial" w:eastAsia="Arial" w:hAnsi="Arial"/>
          <w:color w:val="111827"/>
          <w:sz w:val="22"/>
          <w:szCs w:val="22"/>
        </w:rPr>
        <w:t xml:space="preserve">This is not a hypertension app — it is a between-visit monitoring platform that starts with hypertension because the evidence is clearest there, and expands from there.</w:t>
      </w:r>
    </w:p>
    <w:p>
      <w:pPr>
        <w:pStyle w:val="ListParagraph"/>
        <w:numPr>
          <w:ilvl w:val="0"/>
          <w:numId w:val="2"/>
        </w:numPr>
        <w:spacing w:after="40" w:before="40"/>
      </w:pPr>
      <w:r>
        <w:t>ARIA demonstrates a standards-based path for EHR interoperability: the MVP imports FHIR R4 Bundles, and future live deployments may add vendor-specific SMART on FHIR connectivity once registration, security review, and workflow testing are complete.</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11.3 Demo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Total</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12 minutes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Patient A walkthrough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 minutes — CuffLink data flow, inertia detection, white-coat pattern, briefing review</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Patient B walkthrough</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3 minutes — EHR-only pathway, drug interaction flag, overdue lab, iEMR-only 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Patient C walkthrough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 minutes — cold start, QRISK3, 10-day trend, visit agenda</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Q&amp;A buffer</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2 minutes</w:t>
            </w:r>
          </w:p>
        </w:tc>
      </w:tr>
    </w:tbl>
    <w:p>
      <w:r>
        <w:br w:type="page"/>
      </w:r>
    </w:p>
    <w:p>
      <w:pPr>
        <w:pStyle w:val="Heading1"/>
      </w:pPr>
      <w:r>
        <w:t>12. Security, Compliance, and AI-Agent Delivery Guardrails</w:t>
      </w:r>
    </w:p>
    <w:p>
      <w:r>
        <w:t>The late-April build is a production-shaped MVP, not a claim of hospital-ready deployment. The goal of this section is to define the minimum technical controls that must exist for the demo and any limited pilot using generated data, while making the deferred live-PHI work explicit.</w:t>
      </w:r>
    </w:p>
    <w:p>
      <w:pPr>
        <w:pStyle w:val="Heading2"/>
      </w:pPr>
      <w:r>
        <w:t>12.1 MVP security baseline</w:t>
      </w:r>
    </w:p>
    <w:p>
      <w:r>
        <w:t>The MVP must use named user accounts, basic clinician/admin role checks, TLS in transit, environment-variable-based secret handling, and separated deployment environments. The dashboard is the only PHI-rich surface. Email must remain low-PHI and contain no patient identifiers or clinical values.</w:t>
      </w:r>
    </w:p>
    <w:p>
      <w:pPr>
        <w:pStyle w:val="Heading2"/>
      </w:pPr>
      <w:r>
        <w:t>12.2 Audit and access logging</w:t>
      </w:r>
    </w:p>
    <w:p>
      <w:r>
        <w:t>Every bundle import, reading ingestion, dashboard briefing view, alert acknowledgement, and background job outcome must create an audit_events row. delivered_at or read_at fields are useful workflow timestamps, but they are not sufficient on their own to act as a system audit trail.</w:t>
      </w:r>
    </w:p>
    <w:p>
      <w:pPr>
        <w:pStyle w:val="Heading2"/>
      </w:pPr>
      <w:r>
        <w:t>12.3 Deployment boundary</w:t>
      </w:r>
    </w:p>
    <w:p>
      <w:r>
        <w:t>Demo hosting may use a fast managed container platform, but the team does not describe that environment as a live-PHI production deployment. Healthcare-grade cloud posture, BAA-backed services, formal backup/restore drills, incident response runbooks, and broader compliance controls remain post-MVP work.</w:t>
      </w:r>
    </w:p>
    <w:p>
      <w:pPr>
        <w:pStyle w:val="Heading2"/>
      </w:pPr>
      <w:r>
        <w:t>12.4 AI coding agent operating model</w:t>
      </w:r>
    </w:p>
    <w:p>
      <w:r>
        <w:t>AI coding agents may generate boilerplate, tests, migrations, API clients, UI scaffolding, and refactoring suggestions. They may not be treated as the final authority on clinical thresholds, security language, SQL semantics, audit logic, or prompt content. Every pull request must have a named human owner, human review of clinical and security-sensitive changes, and runnable tests or screenshots attached.</w:t>
      </w:r>
    </w:p>
    <w:tbl>
      <w:tblPr>
        <w:tblW w:type="auto" w:w="0"/>
        <w:tblLayout w:type="autofit"/>
        <w:tblLook w:firstColumn="1" w:firstRow="1" w:lastColumn="0" w:lastRow="0" w:noHBand="0" w:noVBand="1" w:val="04A0"/>
      </w:tblPr>
      <w:tblGrid>
        <w:gridCol w:w="2880"/>
        <w:gridCol w:w="2880"/>
        <w:gridCol w:w="2880"/>
      </w:tblGrid>
      <w:tr>
        <w:tc>
          <w:tcPr>
            <w:tcW w:type="dxa" w:w="2880"/>
          </w:tcPr>
          <w:p>
            <w:r>
              <w:t>Control</w:t>
            </w:r>
          </w:p>
        </w:tc>
        <w:tc>
          <w:tcPr>
            <w:tcW w:type="dxa" w:w="2880"/>
          </w:tcPr>
          <w:p>
            <w:r>
              <w:t>MVP decision</w:t>
            </w:r>
          </w:p>
        </w:tc>
        <w:tc>
          <w:tcPr>
            <w:tcW w:type="dxa" w:w="2880"/>
          </w:tcPr>
          <w:p>
            <w:r>
              <w:t>Why</w:t>
            </w:r>
          </w:p>
        </w:tc>
      </w:tr>
      <w:tr>
        <w:tc>
          <w:tcPr>
            <w:tcW w:type="dxa" w:w="2880"/>
          </w:tcPr>
          <w:p>
            <w:r>
              <w:t>Named user accounts + RBAC</w:t>
            </w:r>
          </w:p>
        </w:tc>
        <w:tc>
          <w:tcPr>
            <w:tcW w:type="dxa" w:w="2880"/>
          </w:tcPr>
          <w:p>
            <w:r>
              <w:t>Build now</w:t>
            </w:r>
          </w:p>
        </w:tc>
        <w:tc>
          <w:tcPr>
            <w:tcW w:type="dxa" w:w="2880"/>
          </w:tcPr>
          <w:p>
            <w:r>
              <w:t>Minimum access control for a clinician-facing system.</w:t>
            </w:r>
          </w:p>
        </w:tc>
      </w:tr>
      <w:tr>
        <w:tc>
          <w:tcPr>
            <w:tcW w:type="dxa" w:w="2880"/>
          </w:tcPr>
          <w:p>
            <w:r>
              <w:t>TLS + secrets management</w:t>
            </w:r>
          </w:p>
        </w:tc>
        <w:tc>
          <w:tcPr>
            <w:tcW w:type="dxa" w:w="2880"/>
          </w:tcPr>
          <w:p>
            <w:r>
              <w:t>Build now</w:t>
            </w:r>
          </w:p>
        </w:tc>
        <w:tc>
          <w:tcPr>
            <w:tcW w:type="dxa" w:w="2880"/>
          </w:tcPr>
          <w:p>
            <w:r>
              <w:t>Basic transport and credential hygiene.</w:t>
            </w:r>
          </w:p>
        </w:tc>
      </w:tr>
      <w:tr>
        <w:tc>
          <w:tcPr>
            <w:tcW w:type="dxa" w:w="2880"/>
          </w:tcPr>
          <w:p>
            <w:r>
              <w:t>Environment separation</w:t>
            </w:r>
          </w:p>
        </w:tc>
        <w:tc>
          <w:tcPr>
            <w:tcW w:type="dxa" w:w="2880"/>
          </w:tcPr>
          <w:p>
            <w:r>
              <w:t>Build now</w:t>
            </w:r>
          </w:p>
        </w:tc>
        <w:tc>
          <w:tcPr>
            <w:tcW w:type="dxa" w:w="2880"/>
          </w:tcPr>
          <w:p>
            <w:r>
              <w:t>Prevents demo/test data from bleeding into any future PHI environment.</w:t>
            </w:r>
          </w:p>
        </w:tc>
      </w:tr>
      <w:tr>
        <w:tc>
          <w:tcPr>
            <w:tcW w:type="dxa" w:w="2880"/>
          </w:tcPr>
          <w:p>
            <w:r>
              <w:t>audit_events table</w:t>
            </w:r>
          </w:p>
        </w:tc>
        <w:tc>
          <w:tcPr>
            <w:tcW w:type="dxa" w:w="2880"/>
          </w:tcPr>
          <w:p>
            <w:r>
              <w:t>Build now</w:t>
            </w:r>
          </w:p>
        </w:tc>
        <w:tc>
          <w:tcPr>
            <w:tcW w:type="dxa" w:w="2880"/>
          </w:tcPr>
          <w:p>
            <w:r>
              <w:t>Minimum credible audit trail.</w:t>
            </w:r>
          </w:p>
        </w:tc>
      </w:tr>
      <w:tr>
        <w:tc>
          <w:tcPr>
            <w:tcW w:type="dxa" w:w="2880"/>
          </w:tcPr>
          <w:p>
            <w:r>
              <w:t>processing_jobs worker</w:t>
            </w:r>
          </w:p>
        </w:tc>
        <w:tc>
          <w:tcPr>
            <w:tcW w:type="dxa" w:w="2880"/>
          </w:tcPr>
          <w:p>
            <w:r>
              <w:t>Build now</w:t>
            </w:r>
          </w:p>
        </w:tc>
        <w:tc>
          <w:tcPr>
            <w:tcW w:type="dxa" w:w="2880"/>
          </w:tcPr>
          <w:p>
            <w:r>
              <w:t>Keeps heavy recompute out of the request path and supports retries.</w:t>
            </w:r>
          </w:p>
        </w:tc>
      </w:tr>
      <w:tr>
        <w:tc>
          <w:tcPr>
            <w:tcW w:type="dxa" w:w="2880"/>
          </w:tcPr>
          <w:p>
            <w:r>
              <w:t>Live SMART on FHIR + write-back</w:t>
            </w:r>
          </w:p>
        </w:tc>
        <w:tc>
          <w:tcPr>
            <w:tcW w:type="dxa" w:w="2880"/>
          </w:tcPr>
          <w:p>
            <w:r>
              <w:t>Defer</w:t>
            </w:r>
          </w:p>
        </w:tc>
        <w:tc>
          <w:tcPr>
            <w:tcW w:type="dxa" w:w="2880"/>
          </w:tcPr>
          <w:p>
            <w:r>
              <w:t>Not credible inside the course timeline.</w:t>
            </w:r>
          </w:p>
        </w:tc>
      </w:tr>
      <w:tr>
        <w:tc>
          <w:tcPr>
            <w:tcW w:type="dxa" w:w="2880"/>
          </w:tcPr>
          <w:p>
            <w:r>
              <w:t>Enterprise PHI deployment claim</w:t>
            </w:r>
          </w:p>
        </w:tc>
        <w:tc>
          <w:tcPr>
            <w:tcW w:type="dxa" w:w="2880"/>
          </w:tcPr>
          <w:p>
            <w:r>
              <w:t>Defer</w:t>
            </w:r>
          </w:p>
        </w:tc>
        <w:tc>
          <w:tcPr>
            <w:tcW w:type="dxa" w:w="2880"/>
          </w:tcPr>
          <w:p>
            <w:r>
              <w:t>Requires a separate security/compliance program.</w:t>
            </w:r>
          </w:p>
        </w:tc>
      </w:tr>
      <w:tr>
        <w:tc>
          <w:tcPr>
            <w:tcW w:type="dxa" w:w="2880"/>
          </w:tcPr>
          <w:p>
            <w:r>
              <w:t>AI agent code generation</w:t>
            </w:r>
          </w:p>
        </w:tc>
        <w:tc>
          <w:tcPr>
            <w:tcW w:type="dxa" w:w="2880"/>
          </w:tcPr>
          <w:p>
            <w:r>
              <w:t>Use with human review</w:t>
            </w:r>
          </w:p>
        </w:tc>
        <w:tc>
          <w:tcPr>
            <w:tcW w:type="dxa" w:w="2880"/>
          </w:tcPr>
          <w:p>
            <w:r>
              <w:t>Speeds delivery without outsourcing accountability.</w:t>
            </w:r>
          </w:p>
        </w:tc>
      </w:tr>
      <w:tr>
        <w:tc>
          <w:tcPr>
            <w:tcW w:type="dxa" w:w="2880"/>
          </w:tcPr>
          <w:p>
            <w:r>
              <w:t>processing_jobs</w:t>
            </w:r>
          </w:p>
        </w:tc>
        <w:tc>
          <w:tcPr>
            <w:tcW w:type="dxa" w:w="2880"/>
          </w:tcPr>
          <w:p>
            <w:r>
              <w:t>Table-backed asynchronous job queue used in the MVP runtime to decouple ingestion from heavy recomputation.</w:t>
            </w:r>
          </w:p>
        </w:tc>
        <w:tc>
          <w:tcPr>
            <w:tcW w:type="dxa" w:w="2880"/>
          </w:tcPr>
          <w:p/>
        </w:tc>
      </w:tr>
      <w:tr>
        <w:tc>
          <w:tcPr>
            <w:tcW w:type="dxa" w:w="2880"/>
          </w:tcPr>
          <w:p>
            <w:r>
              <w:t>audit_events</w:t>
            </w:r>
          </w:p>
        </w:tc>
        <w:tc>
          <w:tcPr>
            <w:tcW w:type="dxa" w:w="2880"/>
          </w:tcPr>
          <w:p>
            <w:r>
              <w:t>Immutable event log recording sensitive accesses and workflow actions.</w:t>
            </w:r>
          </w:p>
        </w:tc>
        <w:tc>
          <w:tcPr>
            <w:tcW w:type="dxa" w:w="2880"/>
          </w:tcPr>
          <w:p/>
        </w:tc>
      </w:tr>
      <w:tr>
        <w:tc>
          <w:tcPr>
            <w:tcW w:type="dxa" w:w="2880"/>
          </w:tcPr>
          <w:p>
            <w:r>
              <w:t>RBAC</w:t>
            </w:r>
          </w:p>
        </w:tc>
        <w:tc>
          <w:tcPr>
            <w:tcW w:type="dxa" w:w="2880"/>
          </w:tcPr>
          <w:p>
            <w:r>
              <w:t>Role-based access control. In ARIA v4.3 this distinguishes at minimum clinician and admin access.</w:t>
            </w:r>
          </w:p>
        </w:tc>
        <w:tc>
          <w:tcPr>
            <w:tcW w:type="dxa" w:w="2880"/>
          </w:tcPr>
          <w:p/>
        </w:tc>
      </w:tr>
    </w:tbl>
    <w:p>
      <w:pPr>
        <w:pStyle w:val="Heading1"/>
        <w:pBdr>
          <w:bottom w:val="single" w:color="1B3A6B" w:sz="8" w:space="4"/>
        </w:pBdr>
        <w:spacing w:after="160" w:before="400"/>
      </w:pPr>
      <w:r>
        <w:rPr>
          <w:rFonts w:ascii="Arial" w:cs="Arial" w:eastAsia="Arial" w:hAnsi="Arial"/>
          <w:b/>
          <w:bCs/>
          <w:color w:val="1B3A6B"/>
          <w:sz w:val="36"/>
          <w:szCs w:val="36"/>
        </w:rPr>
        <w:t xml:space="preserve">13. Medication Adherence Monitoring</w:t>
      </w:r>
    </w:p>
    <w:p>
      <w:pPr>
        <w:spacing w:after="120" w:before="80"/>
      </w:pPr>
      <w:r>
        <w:t>Medication adherence is distinct from blood pressure monitoring but inseparable from hypertension management. A patient whose BP is elevated may be failing on medication (the treatment needs to change) or may have an adherence problem (the treatment is correct but underused). These are different clinical situations requiring different responses. Without adherence context, the clinician cannot confidently distinguish them.</w:t>
      </w:r>
    </w:p>
    <w:p>
      <w:pPr>
        <w:spacing w:after="0" w:before="60"/>
      </w:pPr>
      <w:r>
        <w:rPr>
          <w:rFonts w:ascii="Arial" w:cs="Arial" w:eastAsia="Arial" w:hAnsi="Arial"/>
          <w:color w:val="111827"/>
          <w:sz w:val="22"/>
          <w:szCs w:val="22"/>
        </w:rPr>
        <w:t xml:space="preserve"/>
      </w:r>
    </w:p>
    <w:p>
      <w:pPr>
        <w:spacing w:after="120" w:before="80"/>
      </w:pPr>
      <w:r>
        <w:t>For the MVP, ARIA uses a production-shaped medication-confirmation pipeline populated with synthetic scheduled confirmation events derived from each patient's active medication regimen. This lets the briefing, adherence-rate queries, and BP-correlation logic run end-to-end without claiming real patient adherence capture. Refill inference, push-tap confirmation, photo confirmation, and QR/NFC confirmation remain explicit roadmap items unless separately built and validated later.</w:t>
      </w:r>
    </w:p>
    <w:p>
      <w:pPr>
        <w:spacing w:after="0" w:before="60"/>
      </w:pPr>
      <w:r>
        <w:rPr>
          <w:rFonts w:ascii="Arial" w:cs="Arial" w:eastAsia="Arial" w:hAnsi="Arial"/>
          <w:color w:val="111827"/>
          <w:sz w:val="22"/>
          <w:szCs w:val="22"/>
        </w:rPr>
        <w:t xml:space="preserve"/>
      </w:r>
    </w:p>
    <w:p>
      <w:pPr>
        <w:pStyle w:val="Heading2"/>
        <w:spacing w:after="120" w:before="320"/>
      </w:pPr>
      <w:r>
        <w:t>13.1 Mechanism 1 — Refill-based inference (future contextual signal from EHR data, no patient action)</w:t>
      </w:r>
    </w:p>
    <w:p>
      <w:pPr>
        <w:spacing w:after="120" w:before="80"/>
      </w:pPr>
      <w:r>
        <w:rPr>
          <w:rFonts w:ascii="Arial" w:cs="Arial" w:eastAsia="Arial" w:hAnsi="Arial"/>
          <w:color w:val="111827"/>
          <w:sz w:val="22"/>
          <w:szCs w:val="22"/>
        </w:rPr>
        <w:t xml:space="preserve">The iEMR and FHIR MedicationRequest data contains refill dates and supply quantities. From these, ARIA computes a Medication Possession Ratio (MPR) — the proportion of days in a period for which the patient had medication available based on dispensing history. An MPR below 80% is the standard clinical threshold for flagging non-adherence.</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This requires no patient action. The data is already in the EHR. The ingestion script extracts MED_LAST_REFILL_DATE and MED_QUANTITY during iEMR ingestion, and the same fields are available from FHIR MedicationDispense resources in EHR systems with pharmacy integration.</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Limitation: refill-based inference tells you whether the patient has their medication, not whether they are taking it. A patient who refills on schedule but pockets the pills shows as fully adherent. It is a proxy measure, not a verified one.</w:t>
      </w:r>
    </w:p>
    <w:p>
      <w:pPr>
        <w:spacing w:after="0" w:before="60"/>
      </w:pPr>
      <w:r>
        <w:rPr>
          <w:rFonts w:ascii="Arial" w:cs="Arial" w:eastAsia="Arial" w:hAnsi="Arial"/>
          <w:color w:val="111827"/>
          <w:sz w:val="22"/>
          <w:szCs w:val="22"/>
        </w:rPr>
        <w:t xml:space="preserve"/>
      </w:r>
    </w:p>
    <w:p>
      <w:pPr>
        <w:pStyle w:val="Heading2"/>
        <w:spacing w:after="120" w:before="320"/>
      </w:pPr>
      <w:r>
        <w:t>13.2 Mechanism 2 — Timed push notification with tap confirmation (post-MVP)</w:t>
      </w:r>
    </w:p>
    <w:p>
      <w:pPr>
        <w:spacing w:after="120" w:before="80"/>
      </w:pPr>
      <w:r>
        <w:rPr>
          <w:rFonts w:ascii="Arial" w:cs="Arial" w:eastAsia="Arial" w:hAnsi="Arial"/>
          <w:color w:val="111827"/>
          <w:sz w:val="22"/>
          <w:szCs w:val="22"/>
        </w:rPr>
        <w:t xml:space="preserve">CuffLink sends a push notification at the patient's scheduled medication time, derived from the MED_FREQ field in the clinical_context record. The notification displays the medication name and a single action: Taken. The patient taps it. CuffLink records the timestamp as a confirmation event in the medication_confirmations table.</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The timestamp pattern over 28 days is the signal. A patient who consistently confirms within 15 minutes of scheduled time is adherent. A patient whose confirmations are irregular, clustered at unusual times, or absent is flagged. A patient who stops confirming entirely is a gap event in the medication_confirmations table, distinct from but correlated with a BP reading gap.</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This is low friction — one tap per dose. The notification is generated automatically from clinical_context.current_medications and the MED_FREQ schedule at enrolment. No manual setup per medication is required beyond the standard enrolment form.</w:t>
      </w:r>
    </w:p>
    <w:p>
      <w:pPr>
        <w:spacing w:after="0" w:before="60"/>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EF3C7" w:sz="20"/>
              <w:bottom w:val="none" w:color="FFFFFF" w:sz="0"/>
              <w:right w:val="none" w:color="FFFFFF" w:sz="0"/>
            </w:tcBorders>
            <w:shd w:fill="FEF3C7" w:val="clear"/>
            <w:tcMar>
              <w:top w:type="dxa" w:w="100"/>
              <w:left w:type="dxa" w:w="160"/>
              <w:bottom w:type="dxa" w:w="100"/>
              <w:right w:type="dxa" w:w="160"/>
            </w:tcMar>
          </w:tcPr>
          <w:p>
            <w:pPr>
              <w:spacing w:after="40" w:before="0"/>
            </w:pPr>
            <w:r>
              <w:rPr>
                <w:rFonts w:ascii="Arial" w:cs="Arial" w:eastAsia="Arial" w:hAnsi="Arial"/>
                <w:b/>
                <w:bCs/>
                <w:color w:val="B45309"/>
                <w:sz w:val="22"/>
                <w:szCs w:val="22"/>
              </w:rPr>
              <w:t xml:space="preserve">Social desirability bias</w:t>
            </w:r>
          </w:p>
          <w:p>
            <w:pPr>
              <w:spacing w:after="0" w:before="0"/>
            </w:pPr>
            <w:r>
              <w:rPr>
                <w:rFonts w:ascii="Arial" w:cs="Arial" w:eastAsia="Arial" w:hAnsi="Arial"/>
                <w:color w:val="111827"/>
                <w:sz w:val="20"/>
                <w:szCs w:val="20"/>
              </w:rPr>
              <w:t xml:space="preserve">Tap confirmation is self-report and carries the same bias as any patient-reported outcome — patients tend to over-report adherence. The tap confirmation is not treated as verified adherence. It is treated as self-reported adherence (confidence = self_report in the medication_confirmations table). The value is in the pattern over time and in the correlation with BP readings, not in any individual confirmation event.</w:t>
            </w:r>
          </w:p>
        </w:tc>
      </w:tr>
    </w:tbl>
    <w:p>
      <w:pPr>
        <w:spacing w:after="0" w:before="60"/>
      </w:pPr>
      <w:r>
        <w:rPr>
          <w:rFonts w:ascii="Arial" w:cs="Arial" w:eastAsia="Arial" w:hAnsi="Arial"/>
          <w:color w:val="111827"/>
          <w:sz w:val="22"/>
          <w:szCs w:val="22"/>
        </w:rPr>
        <w:t xml:space="preserve"/>
      </w:r>
    </w:p>
    <w:p>
      <w:pPr>
        <w:pStyle w:val="Heading2"/>
        <w:spacing w:after="120" w:before="320"/>
      </w:pPr>
      <w:r>
        <w:t>13.3 Mechanism 3 — Photo scan of pill pack or bottle (higher confidence, post-MVP)</w:t>
      </w:r>
    </w:p>
    <w:p>
      <w:pPr>
        <w:spacing w:after="120" w:before="80"/>
      </w:pPr>
      <w:r>
        <w:rPr>
          <w:rFonts w:ascii="Arial" w:cs="Arial" w:eastAsia="Arial" w:hAnsi="Arial"/>
          <w:color w:val="111827"/>
          <w:sz w:val="22"/>
          <w:szCs w:val="22"/>
        </w:rPr>
        <w:t xml:space="preserve">For patients willing to engage further, CuffLink offers an optional photo confirmation step. After taking their medication, the patient photographs the blister pack or pill bottle. The photo is sent to the Anthropic vision API with a prompt asking it to verify that the packaging shows evidence of recent use — a pressed-out blister cell, an open bottle cap, a reduced pill count.</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The photo timestamp and the API response are stored in the medication_confirmations table. A successful photo verification sets confidence = photo_verified. This is harder to fake than a tap — it requires physical interaction with the packaging — but is still not clinical-grade verification.</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The photo approach is optional and presented to the patient as an enhanced option, not a requirement. It is most appropriate for patients where non-adherence is suspected but unconfirmed — the clinician can request enhanced monitoring via the dashboard.</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13.4 Mechanism 4 — QR code or NFC tap on packaging (roadmap)</w:t>
      </w:r>
    </w:p>
    <w:p>
      <w:pPr>
        <w:spacing w:after="120" w:before="80"/>
      </w:pPr>
      <w:r>
        <w:rPr>
          <w:rFonts w:ascii="Arial" w:cs="Arial" w:eastAsia="Arial" w:hAnsi="Arial"/>
          <w:color w:val="111827"/>
          <w:sz w:val="22"/>
          <w:szCs w:val="22"/>
        </w:rPr>
        <w:t xml:space="preserve">A QR code or NFC tag applied to the medication packaging provides the highest confidence non-hardware confirmation available. When the patient takes their medication they scan the QR or tap the package to their phone. The event is recorded with the medication identifier from the label, the device ID, and the timestamp.</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This is the approach LOF's eMedonline used with RFID labels. It works on any modern smartphone without additional hardware — NFC is built into iOS and Android, QR scanning is built into the camera app. The operational challenge is label production and distribution: labels need to be printed and applied to the patient's actual medication packaging, which requires either clinic involvement at enrolment or a mailed label pack.</w:t>
      </w:r>
    </w:p>
    <w:p>
      <w:pPr>
        <w:spacing w:after="0" w:before="6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For the MVP this is the roadmap item. The data model already supports it — confirmation_type = 'qr_scan' or 'nfc_tap' and confidence = 'physical_interaction' are defined in the medication_confirmations table. When labels are available, the app feature is a single new scan handler with no database schema changes.</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13.5 How adherence data reaches the clinician</w:t>
      </w:r>
    </w:p>
    <w:p>
      <w:pPr>
        <w:spacing w:after="120" w:before="80"/>
      </w:pPr>
      <w:r>
        <w:t>The structured briefing composer receives the adherence rate per medication from query 7.5 and the adherence-BP correlation from query 7.6. It produces an adherence_summary field in the structured JSON response, which the clinician dashboard renders as a section of the pre-visit briefing. An optional readable summary can restate this section, but the underlying structured field is primary.</w:t>
      </w:r>
    </w:p>
    <w:p>
      <w:pPr>
        <w:spacing w:after="0" w:before="60"/>
      </w:pPr>
      <w:r>
        <w:rPr>
          <w:rFonts w:ascii="Arial" w:cs="Arial" w:eastAsia="Arial" w:hAnsi="Arial"/>
          <w:color w:val="111827"/>
          <w:sz w:val="22"/>
          <w:szCs w:val="22"/>
        </w:rPr>
        <w:t xml:space="preserve"/>
      </w:r>
    </w:p>
    <w:p>
      <w:pPr>
        <w:spacing w:after="120" w:before="80"/>
      </w:pPr>
      <w:r>
        <w:t>The briefing section distinguishes three contextual interpretations rather than making absolute claims. First, elevated BP with a high adherence signal — the patient may be taking their medication and it may not be working as intended; the visit agenda item is medication review and potential uptitration. Second, elevated BP with a low adherence signal — there may be an adherence concern; the visit agenda item is adherence counselling before any medication change. Third, normal BP with a low adherence signal — the clinician should review whether the readings, schedule, or regimen require closer assessment. These are review pathways, not automated conclusions.</w:t>
      </w:r>
    </w:p>
    <w:p>
      <w:pPr>
        <w:spacing w:after="0" w:before="60"/>
      </w:pPr>
      <w:r>
        <w:rPr>
          <w:rFonts w:ascii="Arial" w:cs="Arial" w:eastAsia="Arial" w:hAnsi="Arial"/>
          <w:color w:val="111827"/>
          <w:sz w:val="22"/>
          <w:szCs w:val="22"/>
        </w:rPr>
        <w:t xml:space="preserve"/>
      </w:r>
    </w:p>
    <w:p>
      <w:pPr>
        <w:spacing w:after="120" w:before="80"/>
      </w:pPr>
      <w:r>
        <w:t>This contextual interpretation is what makes adherence monitoring useful. Without it, the clinician sees elevated BP and may adjust medication immediately. With it, they can see whether elevated BP is appearing alongside a weaker adherence signal and decide whether the first conversation should be about the regimen, the patient's behaviour, or both. The value is better pre-visit context, not proof of what happened at home.</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13.6 CuffLink medication schedule setup</w:t>
      </w:r>
    </w:p>
    <w:p>
      <w:pPr>
        <w:spacing w:after="120" w:before="80"/>
      </w:pPr>
      <w:r>
        <w:t>At enrolment, the CuffLink app reads clinical_context.current_medications and current_medications_freq (a field added to clinical_context containing the MED_FREQ values from the iEMR medication records). It generates a confirmation schedule — a list of scheduled_time entries per medication per day — and writes these as pending rows to the medication_confirmations table with confirmed_at = NULL. For the MVP, this same schedule also drives synthetic confirmation-event generation.</w:t>
      </w:r>
    </w:p>
    <w:p>
      <w:pPr>
        <w:spacing w:after="0" w:before="60"/>
      </w:pPr>
      <w:r>
        <w:rPr>
          <w:rFonts w:ascii="Arial" w:cs="Arial" w:eastAsia="Arial" w:hAnsi="Arial"/>
          <w:color w:val="111827"/>
          <w:sz w:val="22"/>
          <w:szCs w:val="22"/>
        </w:rPr>
        <w:t xml:space="preserve"/>
      </w:r>
    </w:p>
    <w:p>
      <w:pPr>
        <w:spacing w:after="120" w:before="80"/>
      </w:pPr>
      <w:r>
        <w:t>The schedule is generated for a rolling 28-day window and regenerated weekly. If clinical_context.last_med_change is updated (indicating a medication change in the EHR), the schedule is immediately regenerated. Medications discontinued in the EHR are removed from the schedule. New medications are added with confirmations starting from their MED_DATE_ADDED. In the MVP, synthetic confirmation rows are regenerated from this schedule; in future deployment, patient-generated confirmations replace them.</w:t>
      </w:r>
    </w:p>
    <w:p>
      <w:pPr>
        <w:spacing w:after="0" w:before="60"/>
      </w:pPr>
      <w:r>
        <w:rPr>
          <w:rFonts w:ascii="Arial" w:cs="Arial" w:eastAsia="Arial" w:hAnsi="Arial"/>
          <w:color w:val="111827"/>
          <w:sz w:val="22"/>
          <w:szCs w:val="22"/>
        </w:rPr>
        <w:t xml:space="preserve"/>
      </w:r>
    </w:p>
    <w:p>
      <w:pPr>
        <w:pStyle w:val="Heading2"/>
        <w:spacing w:after="120" w:before="320"/>
      </w:pPr>
      <w:r>
        <w:rPr>
          <w:rFonts w:ascii="Arial" w:cs="Arial" w:eastAsia="Arial" w:hAnsi="Arial"/>
          <w:b/>
          <w:bCs/>
          <w:color w:val="2C5F9E"/>
          <w:sz w:val="28"/>
          <w:szCs w:val="28"/>
        </w:rPr>
        <w:t xml:space="preserve">13.7 MVP scope for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080"/>
            <w:tcBorders>
              <w:top w:val="single" w:color="2C5F9E" w:sz="4"/>
              <w:left w:val="single" w:color="2C5F9E" w:sz="4"/>
              <w:bottom w:val="single" w:color="2C5F9E" w:sz="4"/>
              <w:right w:val="single" w:color="2C5F9E" w:sz="4"/>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Refill-based MPR from iEMR</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Roadmap</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Useful future contextual signal from EHR/pharmacy data, but not required for the MVP demo.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Timed push notification + tap confirmation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Roadmap</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Future real-world confirmation path after live patient capture is in scope.</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Optional photo confirmation</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Roadmap</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Higher-confidence future path. Explicitly deferred from the MVP.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Synthetic dose schedule generation + synthetic confirmation events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2</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Creates production-shaped medication confirmation data from the active regimen for MVP testing.</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Adherence-BP correlation query (7.6)</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Build — Week 2</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Depends on medication_confirmations having synthetic data. Used as contextual evidence only.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Briefing adherence_summary section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Build — Week 3</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Structured briefing section first; optional readable summary layered later.</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QR/NFC label scan</w:t>
            </w:r>
          </w:p>
        </w:tc>
        <w:tc>
          <w:tcPr>
            <w:tcW w:type="dxa" w:w="3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Roadmap</w:t>
            </w:r>
          </w:p>
        </w:tc>
        <w:tc>
          <w:tcPr>
            <w:tcW w:type="dxa" w:w="408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Label production and distribution are operationally complex. confirmation_type and schema already support 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FHIR MedicationDispense ingestion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Roadmap</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Requires pharmacy system integration. Phase 2 when EHR connectivity is live.</w:t>
            </w:r>
          </w:p>
        </w:tc>
      </w:tr>
      <w:tr>
        <w:tc>
          <w:tcPr>
            <w:tcW w:type="dxa" w:w="2200"/>
          </w:tcPr>
          <w:p>
            <w:r>
              <w:t>Smart pill bottle cap integration</w:t>
            </w:r>
          </w:p>
        </w:tc>
        <w:tc>
          <w:tcPr>
            <w:tcW w:type="dxa" w:w="3080"/>
          </w:tcPr>
          <w:p>
            <w:r>
              <w:t>Roadmap</w:t>
            </w:r>
          </w:p>
        </w:tc>
        <w:tc>
          <w:tcPr>
            <w:tcW w:type="dxa" w:w="4080"/>
          </w:tcPr>
          <w:p>
            <w:r>
              <w:t>Hardware. Phase 3 for high-risk patients only.</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ARIA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Adaptive Real-time Intelligence Architecture. The between-visit clinical intelligence platform described in this document.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CuffLink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ARIA's home monitoring layer — the Bluetooth cuff integration, reading submission app, medication confirmation pipeline, and API.</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iEMR</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Intelligent Electronic Medical Record. LOF's patient record system. Used as a test fixture via the iEMR-to-FHIR adapter.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FHIR R4</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 Healthcare Interoperability Resources version 4. The HL7 international standard for health data exchange. ARIA's ingestion interface.</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SMART on FHIR</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OAuth 2.0-based authentication standard for FHIR API access. Required for live EHR API connections in production.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GPConnect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NHS England standard for structured GP record sharing. The realistic data export pathway for UK GP pilot practices.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Therapeutic inertia</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The failure to intensify treatment when a patient's readings are consistently above target. The primary clinical pattern ARIA detects.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Non-adherence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failure of a patient to take their medication as prescribed. Produces elevated BP that looks like therapeutic failure but has a different clinical solution.</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Medication Possession Ratio (MPR)</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The proportion of days in a period for which the patient had medication available based on refill/dispensing history. Below 80% is the standard clinical threshold for flagging non-adherence.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medication_confirmations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The ARIA database table storing one row per scheduled medication dose event. In the MVP it is populated by synthetic demo confirmation records; in future deployment it stores patient-generated confirmation events.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Confidence level</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The reliability of a medication confirmation. simulated = synthetic demo event. self_report = tap only. photo_verified = camera evidence reviewed by vision AI. physical_interaction = QR or NFC scan of actual packaging.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Social desirability bias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tendency for patients to over-report adherence because they feel they should have taken their medication. Affects all self-report mechanisms.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Adherence-BP correlation</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t>ARIA pattern engine query 7.6 — joins readings and medication_confirmations to determine whether elevated BP days correspond to missed doses or weaker adherence signals. Used as contextual evidence, not definitive proof.</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White-coat adherence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Readings that improve in the days before a clinical appointment and return to higher levels afterwards. Masks true between-visit BP.</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Two-reading session</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CuffLink protocol: two measurements per session, one minute apart. Average stored as primary analysis 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Morning surge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Physiological rise in BP on waking. Causes morning readings to be 5–10 mmHg higher than evening readings.</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Shadow mode</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Validation process: ARIA alert engine runs against iEMR data with synthetic home readings. Output compared to physician notes. Target: 80% agreement.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Pre-visit briefing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Structured document delivered in the clinician dashboard at 7:30 AM on appointment days — trend summary, medication status, adherence summary, active problems, overdue labs, prioritised visit agenda, and urgent flags. Optional email notification only tells the clinician the briefing is ready.</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LOINC</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Logical Observation Identifiers Names and Codes. Used in FHIR Observation resources for vital signs coding.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SNOMED 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Systematized Nomenclature of Medicine Clinical Terms. Used in FHIR for body site and method coding.</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RxNORM</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US standard drug terminology. Used in FHIR MedicationRequest 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UCUM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Unified Code for Units of Measure. Used in FHIR Observation valueQuantity (mmHg, bpm).</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QRISK3</w:t>
            </w:r>
          </w:p>
        </w:tc>
        <w:tc>
          <w:tcPr>
            <w:tcW w:type="dxa" w:w="63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Validated algorithm for 10-year cardiovascular risk calculation. Computed from intake questionnaire data for new patients.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Parallel arrays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clinical_context design pattern where active_problems[n] corresponds to problem_codes[n]. Enables typed relational storage without additional join tables.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9E" w:sz="4" w:space="4"/>
      </w:pBdr>
      <w:jc w:val="center"/>
    </w:pPr>
    <w:r>
      <w:rPr>
        <w:rFonts w:ascii="Arial" w:cs="Arial" w:eastAsia="Arial" w:hAnsi="Arial"/>
        <w:color w:val="9CA3AF"/>
        <w:sz w:val="16"/>
        <w:szCs w:val="16"/>
      </w:rPr>
      <w:t xml:space="preserve">Page </w:t>
    </w:r>
    <w:fldSimple w:instr="PAGE"/>
    <w:r>
      <w:rPr>
        <w:rFonts w:ascii="Arial" w:cs="Arial" w:eastAsia="Arial" w:hAnsi="Arial"/>
        <w:color w:val="9CA3AF"/>
        <w:sz w:val="16"/>
        <w:szCs w:val="16"/>
      </w:rPr>
      <w:t xml:space="preserve">  |  Confidential — Leap of Faith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9E" w:sz="4" w:space="4"/>
      </w:pBdr>
      <w:jc w:val="right"/>
    </w:pPr>
    <w:r>
      <w:t>ARIA — Full Technical Specification v4.1  |  LOF / IIT CS 595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5F9E"/>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D6E6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2026-04-09T22:15:02.507Z</dcterms:created>
  <dcterms:modified xsi:type="dcterms:W3CDTF">2026-04-09T22:15:02.508Z</dcterms:modified>
</cp:coreProperties>
</file>

<file path=docProps/custom.xml><?xml version="1.0" encoding="utf-8"?>
<Properties xmlns="http://schemas.openxmlformats.org/officeDocument/2006/custom-properties" xmlns:vt="http://schemas.openxmlformats.org/officeDocument/2006/docPropsVTypes"/>
</file>